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A2" w:rsidRPr="00A140E8" w:rsidRDefault="00F56758">
      <w:pPr>
        <w:pStyle w:val="1"/>
        <w:widowControl/>
        <w:spacing w:line="450" w:lineRule="atLeast"/>
        <w:jc w:val="center"/>
        <w:rPr>
          <w:rFonts w:cs="宋体" w:hint="default"/>
          <w:b/>
          <w:bCs/>
          <w:sz w:val="44"/>
          <w:szCs w:val="44"/>
        </w:rPr>
      </w:pPr>
      <w:r w:rsidRPr="00A140E8">
        <w:rPr>
          <w:rFonts w:cs="宋体"/>
          <w:b/>
          <w:bCs/>
          <w:color w:val="333333"/>
          <w:sz w:val="44"/>
          <w:szCs w:val="44"/>
          <w:shd w:val="clear" w:color="auto" w:fill="FFFFFF"/>
        </w:rPr>
        <w:t>院内零星维修工程服务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1、因零星工程年工作量无法测算，现以优惠率的方式进行报价，投标人报优惠费率不得高于（含）90.00%，否则视为无效报价。(举例：如某项工作内容审定组价为4000元，报价折扣率为91%，则结算价格=4000×91%)。工作内容包括单个维修项目工程及概算在5000元以下的维修、土建、安装、装修零星工程施工。</w:t>
      </w:r>
    </w:p>
    <w:p w:rsidR="00455F37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2、</w:t>
      </w:r>
      <w:r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合同有效期为</w:t>
      </w:r>
      <w:r w:rsidR="00455F37"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一</w:t>
      </w:r>
      <w:r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年，</w:t>
      </w:r>
      <w:r w:rsidR="00455F37"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项目以派工单委托。</w:t>
      </w:r>
      <w:r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如遇医</w:t>
      </w: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院整体搬迁，本合同至医院搬迁完成之月自行终止。医院不承担任何违约责任及经济补偿。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 xml:space="preserve">3、投标单位技术工种要求：施工队伍人员要相对稳定(中心不提供住宿)，水工、电工、木工、瓦工、电焊工、油漆工、登高工齐全，特殊工种需要持证上岗。做到随叫随到，具备突发事件应急处理能力，并具有专业性行业的上岗证书，禁止无牌无证上岗施工，以确保工程质量。施工单位设备工具材料自备。材料仓储及加工区域需与原施工单位交接，投标单位需要有编制单个维修项目预算和图纸设计的能力。 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 xml:space="preserve">4、每项工程施工完工，中间修改及拆除部分工作内容要及时通知上报总务安保部门，办理隐蔽中间验收工作，并附相关影像资料，工程结算按医院审计流程送审。零星工程不支付工程预付款和备料款。 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 xml:space="preserve">5、中心可设少量建筑材料堆放点，工程建筑垃圾由施工队负责清理外运。施工用的砂、砖等建筑材料不准长时间堆放医院范围内。 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6</w:t>
      </w:r>
      <w:r w:rsid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、工程承包及报价方式：</w:t>
      </w:r>
      <w:r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工程依据</w:t>
      </w:r>
      <w:r w:rsidR="00A140E8"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2018版《安徽省建设工程计价定额》、2021年修编定额和清单及计费模式计价，</w:t>
      </w: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定额人工费按163</w:t>
      </w: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lastRenderedPageBreak/>
        <w:t>元/工日；税金按税前工程造价的9%计取；每项工程按实际发生的工程量按实结算，投标报价以优惠下浮比例报价。工程包工、包料、包安全责任、包质量、包文明施工等。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 xml:space="preserve">*7、投标单位中标后按照甲方要求提供维修装饰材料；可选择如下《材料参考品牌一览表》所列品牌，也可选择参考品牌以外的其他品牌，但中标人所购的其他品牌的档次、参数、技术指标以及性能不得低于参考品牌，且经招标人同意方可使用。（投标文件中提供承诺函并加盖投标人公章，格式自拟。） 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材料参考品牌一览表</w:t>
      </w:r>
    </w:p>
    <w:tbl>
      <w:tblPr>
        <w:tblStyle w:val="a5"/>
        <w:tblW w:w="0" w:type="auto"/>
        <w:tblLook w:val="04A0"/>
      </w:tblPr>
      <w:tblGrid>
        <w:gridCol w:w="2840"/>
        <w:gridCol w:w="4268"/>
        <w:gridCol w:w="1414"/>
      </w:tblGrid>
      <w:tr w:rsidR="007F7FA2" w:rsidRPr="00A140E8">
        <w:trPr>
          <w:trHeight w:val="434"/>
        </w:trPr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装饰主材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推荐品牌</w:t>
            </w:r>
          </w:p>
        </w:tc>
        <w:tc>
          <w:tcPr>
            <w:tcW w:w="1414" w:type="dxa"/>
          </w:tcPr>
          <w:p w:rsidR="007F7FA2" w:rsidRPr="00A140E8" w:rsidRDefault="00F56758" w:rsidP="00A140E8">
            <w:pPr>
              <w:widowControl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备 注</w:t>
            </w: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瓷砖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东鹏、冠珠、萨米特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乳胶漆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立邦、多乐士、嘉宝莉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套装门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科派、中德斌祥、鸿飞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电缆、电线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鑫科、启帆、远东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PPR水管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日丰、伟星、华亚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PVC下水管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华亚、中财、金牛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开关插座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公牛、正泰、鸿雁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rPr>
          <w:trHeight w:val="449"/>
        </w:trPr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卫浴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九牧、苏尔达、粤陶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龙头等水配件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东鹏、九牧、苏尔达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石膏板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龙牌、泰山、可耐福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木工板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莫干山、兔宝宝、千年舟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7F7FA2" w:rsidRPr="00A140E8" w:rsidRDefault="007F7FA2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lastRenderedPageBreak/>
        <w:t>*8、投标人须承诺：做到正常工作时间随叫随到，具备突发事件应急处理能力。（响应文件中提供承诺函并加盖投标人公章，格式自拟）。此次投标报价包含一切费用，费用不再另计。项目组人员一经确认，原则上不得变更。项目过程中如有人员变更，需提供年龄小于投标文件成员的身份信息。（投标文件中提供承诺函并加盖投标人公章，格式自拟。）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9、</w:t>
      </w:r>
      <w:r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水电费：按实际应支付的工程款千分之七计算，费用包含在投标报价中</w:t>
      </w:r>
      <w:r w:rsidR="00A140E8"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，决算时从应支付的工程款中予以扣除。</w:t>
      </w:r>
    </w:p>
    <w:p w:rsidR="007F7FA2" w:rsidRDefault="007F7FA2">
      <w:pPr>
        <w:rPr>
          <w:sz w:val="48"/>
          <w:szCs w:val="48"/>
        </w:rPr>
      </w:pPr>
    </w:p>
    <w:p w:rsidR="007F7FA2" w:rsidRPr="000C1EAC" w:rsidRDefault="007F7FA2" w:rsidP="00A140E8">
      <w:pPr>
        <w:widowControl/>
        <w:ind w:firstLineChars="1900" w:firstLine="513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</w:p>
    <w:sectPr w:rsidR="007F7FA2" w:rsidRPr="000C1EAC" w:rsidSect="007F7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1A9" w:rsidRPr="001E25CB" w:rsidRDefault="00E821A9" w:rsidP="00455F37">
      <w:pPr>
        <w:rPr>
          <w:rFonts w:cs="黑体"/>
        </w:rPr>
      </w:pPr>
      <w:r>
        <w:separator/>
      </w:r>
    </w:p>
  </w:endnote>
  <w:endnote w:type="continuationSeparator" w:id="1">
    <w:p w:rsidR="00E821A9" w:rsidRPr="001E25CB" w:rsidRDefault="00E821A9" w:rsidP="00455F37">
      <w:pPr>
        <w:rPr>
          <w:rFonts w:cs="黑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1A9" w:rsidRPr="001E25CB" w:rsidRDefault="00E821A9" w:rsidP="00455F37">
      <w:pPr>
        <w:rPr>
          <w:rFonts w:cs="黑体"/>
        </w:rPr>
      </w:pPr>
      <w:r>
        <w:separator/>
      </w:r>
    </w:p>
  </w:footnote>
  <w:footnote w:type="continuationSeparator" w:id="1">
    <w:p w:rsidR="00E821A9" w:rsidRPr="001E25CB" w:rsidRDefault="00E821A9" w:rsidP="00455F37">
      <w:pPr>
        <w:rPr>
          <w:rFonts w:cs="黑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7F7FA2"/>
    <w:rsid w:val="000C1EAC"/>
    <w:rsid w:val="00311313"/>
    <w:rsid w:val="00455F37"/>
    <w:rsid w:val="004F04CB"/>
    <w:rsid w:val="007F7FA2"/>
    <w:rsid w:val="00A140E8"/>
    <w:rsid w:val="00C23548"/>
    <w:rsid w:val="00E821A9"/>
    <w:rsid w:val="00EF132B"/>
    <w:rsid w:val="00F56758"/>
    <w:rsid w:val="3EA24B89"/>
    <w:rsid w:val="425C6772"/>
    <w:rsid w:val="463648AF"/>
    <w:rsid w:val="49B4229E"/>
    <w:rsid w:val="4C1F7C4E"/>
    <w:rsid w:val="4E5D44E7"/>
    <w:rsid w:val="69C37AC1"/>
    <w:rsid w:val="7E28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F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F7FA2"/>
    <w:pPr>
      <w:jc w:val="left"/>
      <w:outlineLvl w:val="0"/>
    </w:pPr>
    <w:rPr>
      <w:rFonts w:ascii="宋体" w:eastAsia="宋体" w:hAnsi="宋体" w:cs="Times New Roman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rsid w:val="007F7FA2"/>
    <w:pPr>
      <w:spacing w:line="360" w:lineRule="auto"/>
      <w:ind w:firstLineChars="200" w:firstLine="480"/>
    </w:pPr>
    <w:rPr>
      <w:rFonts w:ascii="Arial" w:hAnsi="Calibri" w:cs="Times New Roman"/>
      <w:kern w:val="0"/>
      <w:sz w:val="24"/>
    </w:rPr>
  </w:style>
  <w:style w:type="paragraph" w:styleId="a4">
    <w:name w:val="envelope return"/>
    <w:basedOn w:val="a"/>
    <w:qFormat/>
    <w:rsid w:val="007F7FA2"/>
    <w:pPr>
      <w:snapToGrid w:val="0"/>
    </w:pPr>
    <w:rPr>
      <w:rFonts w:ascii="Arial" w:hAnsi="Arial"/>
    </w:rPr>
  </w:style>
  <w:style w:type="paragraph" w:styleId="2">
    <w:name w:val="Body Text First Indent 2"/>
    <w:basedOn w:val="a3"/>
    <w:next w:val="a"/>
    <w:qFormat/>
    <w:rsid w:val="007F7FA2"/>
    <w:pPr>
      <w:spacing w:after="120" w:line="240" w:lineRule="auto"/>
      <w:ind w:leftChars="200" w:left="420" w:firstLine="420"/>
    </w:pPr>
    <w:rPr>
      <w:rFonts w:ascii="Times New Roman" w:hAnsi="Times New Roman" w:cs="Calibri"/>
      <w:kern w:val="2"/>
      <w:sz w:val="21"/>
    </w:rPr>
  </w:style>
  <w:style w:type="table" w:styleId="a5">
    <w:name w:val="Table Grid"/>
    <w:basedOn w:val="a1"/>
    <w:qFormat/>
    <w:rsid w:val="007F7F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sid w:val="007F7FA2"/>
    <w:rPr>
      <w:color w:val="800080"/>
      <w:u w:val="none"/>
    </w:rPr>
  </w:style>
  <w:style w:type="character" w:styleId="HTML">
    <w:name w:val="HTML Definition"/>
    <w:basedOn w:val="a0"/>
    <w:qFormat/>
    <w:rsid w:val="007F7FA2"/>
  </w:style>
  <w:style w:type="character" w:styleId="HTML0">
    <w:name w:val="HTML Typewriter"/>
    <w:basedOn w:val="a0"/>
    <w:qFormat/>
    <w:rsid w:val="007F7FA2"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qFormat/>
    <w:rsid w:val="007F7FA2"/>
  </w:style>
  <w:style w:type="character" w:styleId="HTML2">
    <w:name w:val="HTML Variable"/>
    <w:basedOn w:val="a0"/>
    <w:qFormat/>
    <w:rsid w:val="007F7FA2"/>
  </w:style>
  <w:style w:type="character" w:styleId="a7">
    <w:name w:val="Hyperlink"/>
    <w:basedOn w:val="a0"/>
    <w:qFormat/>
    <w:rsid w:val="007F7FA2"/>
    <w:rPr>
      <w:color w:val="0000FF"/>
      <w:u w:val="none"/>
    </w:rPr>
  </w:style>
  <w:style w:type="character" w:styleId="HTML3">
    <w:name w:val="HTML Code"/>
    <w:basedOn w:val="a0"/>
    <w:qFormat/>
    <w:rsid w:val="007F7FA2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  <w:rsid w:val="007F7FA2"/>
  </w:style>
  <w:style w:type="character" w:styleId="HTML5">
    <w:name w:val="HTML Keyboard"/>
    <w:basedOn w:val="a0"/>
    <w:qFormat/>
    <w:rsid w:val="007F7FA2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7F7FA2"/>
    <w:rPr>
      <w:rFonts w:ascii="monospace" w:eastAsia="monospace" w:hAnsi="monospace" w:cs="monospace" w:hint="default"/>
    </w:rPr>
  </w:style>
  <w:style w:type="paragraph" w:styleId="a8">
    <w:name w:val="header"/>
    <w:basedOn w:val="a"/>
    <w:link w:val="Char"/>
    <w:rsid w:val="00455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55F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455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455F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尹欢欢</cp:lastModifiedBy>
  <cp:revision>6</cp:revision>
  <dcterms:created xsi:type="dcterms:W3CDTF">2025-09-26T07:39:00Z</dcterms:created>
  <dcterms:modified xsi:type="dcterms:W3CDTF">2025-09-28T00:30:00Z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45DA81A1231C405788CF8871495E6727_12</vt:lpwstr>
  </property>
</Properties>
</file>