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adjustRightInd w:val="0"/>
        <w:snapToGrid w:val="0"/>
        <w:spacing w:line="360" w:lineRule="auto"/>
        <w:jc w:val="center"/>
        <w:outlineLvl w:val="2"/>
        <w:rPr>
          <w:rFonts w:hint="default" w:eastAsia="仿宋"/>
          <w:b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eastAsia="仿宋"/>
          <w:b/>
          <w:snapToGrid w:val="0"/>
          <w:kern w:val="0"/>
          <w:sz w:val="28"/>
          <w:szCs w:val="28"/>
          <w:lang w:val="en-US" w:eastAsia="zh-CN"/>
        </w:rPr>
        <w:t>芜湖市第三人民医院药品追溯等接口改造项目</w:t>
      </w:r>
    </w:p>
    <w:p>
      <w:pPr>
        <w:wordWrap w:val="0"/>
        <w:topLinePunct/>
        <w:adjustRightInd w:val="0"/>
        <w:snapToGrid w:val="0"/>
        <w:spacing w:line="360" w:lineRule="auto"/>
        <w:jc w:val="center"/>
        <w:outlineLvl w:val="2"/>
        <w:rPr>
          <w:rFonts w:eastAsia="仿宋"/>
          <w:b/>
          <w:snapToGrid w:val="0"/>
          <w:kern w:val="0"/>
          <w:sz w:val="28"/>
          <w:szCs w:val="28"/>
        </w:rPr>
      </w:pPr>
      <w:r>
        <w:rPr>
          <w:rFonts w:eastAsia="仿宋"/>
          <w:b/>
          <w:snapToGrid w:val="0"/>
          <w:kern w:val="0"/>
          <w:sz w:val="28"/>
          <w:szCs w:val="28"/>
        </w:rPr>
        <w:t>采购需求说明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一、质保及要求：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1.质保期：不低于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年；在质保期内出现问题，所产生的维修费用均由供应商承担；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2.软件质保：所有配套软件终生质保且负责升级为最新软件，费用包含在投标报价中。（投标文件中提供承诺函加盖投标人公章，格式自拟）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3.技术培训：中标方应负责对医院操作、检修人员进行整套操作技术培训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4.总预算为9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万元整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*5.所报费用包括接口改造及对应的HIS/CIS改造投标人不得再收取其他费用提供承诺函。</w:t>
      </w:r>
    </w:p>
    <w:p>
      <w:pPr>
        <w:wordWrap w:val="0"/>
        <w:topLinePunct/>
        <w:adjustRightInd w:val="0"/>
        <w:snapToGrid w:val="0"/>
        <w:spacing w:line="360" w:lineRule="auto"/>
        <w:jc w:val="center"/>
        <w:rPr>
          <w:rFonts w:eastAsia="仿宋"/>
          <w:b/>
          <w:snapToGrid w:val="0"/>
          <w:kern w:val="0"/>
          <w:sz w:val="28"/>
          <w:szCs w:val="28"/>
        </w:rPr>
      </w:pPr>
    </w:p>
    <w:p>
      <w:pPr>
        <w:wordWrap w:val="0"/>
        <w:topLinePunct/>
        <w:adjustRightInd w:val="0"/>
        <w:snapToGrid w:val="0"/>
        <w:spacing w:line="360" w:lineRule="auto"/>
        <w:jc w:val="center"/>
        <w:outlineLvl w:val="2"/>
        <w:rPr>
          <w:rFonts w:eastAsia="仿宋"/>
          <w:b/>
          <w:snapToGrid w:val="0"/>
          <w:kern w:val="0"/>
          <w:sz w:val="28"/>
          <w:szCs w:val="28"/>
        </w:rPr>
      </w:pPr>
      <w:r>
        <w:rPr>
          <w:rFonts w:eastAsia="仿宋"/>
          <w:b/>
          <w:snapToGrid w:val="0"/>
          <w:kern w:val="0"/>
          <w:sz w:val="28"/>
          <w:szCs w:val="28"/>
        </w:rPr>
        <w:t>采购需求一览表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653"/>
        <w:gridCol w:w="1608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6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接口名称</w:t>
            </w:r>
          </w:p>
        </w:tc>
        <w:tc>
          <w:tcPr>
            <w:tcW w:w="16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6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医保药品追溯接口</w:t>
            </w:r>
          </w:p>
        </w:tc>
        <w:tc>
          <w:tcPr>
            <w:tcW w:w="16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先诊疗后付费接口</w:t>
            </w:r>
          </w:p>
        </w:tc>
        <w:tc>
          <w:tcPr>
            <w:tcW w:w="16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3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6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检验检查结果互联互通</w:t>
            </w:r>
          </w:p>
        </w:tc>
        <w:tc>
          <w:tcPr>
            <w:tcW w:w="16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6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全流程就诊</w:t>
            </w:r>
          </w:p>
        </w:tc>
        <w:tc>
          <w:tcPr>
            <w:tcW w:w="16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topLinePunct/>
        <w:adjustRightInd w:val="0"/>
        <w:snapToGrid w:val="0"/>
        <w:spacing w:line="360" w:lineRule="auto"/>
        <w:jc w:val="center"/>
        <w:outlineLvl w:val="2"/>
        <w:rPr>
          <w:rFonts w:eastAsia="仿宋"/>
          <w:b/>
          <w:snapToGrid w:val="0"/>
          <w:kern w:val="0"/>
          <w:sz w:val="28"/>
          <w:szCs w:val="28"/>
        </w:rPr>
      </w:pPr>
    </w:p>
    <w:p>
      <w:pPr>
        <w:rPr>
          <w:rFonts w:hint="default" w:eastAsia="仿宋"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eastAsia="仿宋"/>
          <w:snapToGrid w:val="0"/>
          <w:kern w:val="0"/>
          <w:sz w:val="24"/>
          <w:szCs w:val="24"/>
          <w:lang w:val="en-US" w:eastAsia="zh-CN"/>
        </w:rPr>
        <w:br w:type="page"/>
      </w:r>
      <w:r>
        <w:rPr>
          <w:rFonts w:hint="eastAsia" w:eastAsia="仿宋"/>
          <w:snapToGrid w:val="0"/>
          <w:kern w:val="0"/>
          <w:sz w:val="24"/>
          <w:szCs w:val="24"/>
          <w:lang w:val="en-US" w:eastAsia="zh-CN"/>
        </w:rPr>
        <w:t>一、医保药品追溯接口</w:t>
      </w:r>
    </w:p>
    <w:tbl>
      <w:tblPr>
        <w:tblStyle w:val="10"/>
        <w:tblW w:w="10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16"/>
        <w:gridCol w:w="5280"/>
        <w:gridCol w:w="1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21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接口类型</w:t>
            </w:r>
          </w:p>
        </w:tc>
        <w:tc>
          <w:tcPr>
            <w:tcW w:w="5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接口内容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21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追溯码接口</w:t>
            </w:r>
          </w:p>
        </w:tc>
        <w:tc>
          <w:tcPr>
            <w:tcW w:w="5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商品盘存上传（3501A）</w:t>
            </w:r>
          </w:p>
        </w:tc>
        <w:tc>
          <w:tcPr>
            <w:tcW w:w="179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221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5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商品库存变更（3502A）</w:t>
            </w:r>
          </w:p>
        </w:tc>
        <w:tc>
          <w:tcPr>
            <w:tcW w:w="17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  <w:jc w:val="center"/>
        </w:trPr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221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5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商品销售（3505A）</w:t>
            </w:r>
          </w:p>
        </w:tc>
        <w:tc>
          <w:tcPr>
            <w:tcW w:w="17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221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5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商品销售退货（3506A）</w:t>
            </w:r>
          </w:p>
        </w:tc>
        <w:tc>
          <w:tcPr>
            <w:tcW w:w="17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221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5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定点医药机构入库商品追溯信息查询（3512）</w:t>
            </w:r>
          </w:p>
        </w:tc>
        <w:tc>
          <w:tcPr>
            <w:tcW w:w="17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221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5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定点医药机构商品销售追溯信息查询（3513）</w:t>
            </w:r>
          </w:p>
        </w:tc>
        <w:tc>
          <w:tcPr>
            <w:tcW w:w="17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221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HIS改造</w:t>
            </w:r>
          </w:p>
        </w:tc>
        <w:tc>
          <w:tcPr>
            <w:tcW w:w="5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药品入库</w:t>
            </w:r>
          </w:p>
        </w:tc>
        <w:tc>
          <w:tcPr>
            <w:tcW w:w="179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增加扫码功能，并记录药品的追溯码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280" w:hRule="atLeast"/>
          <w:jc w:val="center"/>
        </w:trPr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221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药品盘点</w:t>
            </w:r>
          </w:p>
        </w:tc>
        <w:tc>
          <w:tcPr>
            <w:tcW w:w="17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9</w:t>
            </w:r>
          </w:p>
        </w:tc>
        <w:tc>
          <w:tcPr>
            <w:tcW w:w="221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药房发药</w:t>
            </w:r>
          </w:p>
        </w:tc>
        <w:tc>
          <w:tcPr>
            <w:tcW w:w="17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</w:p>
        </w:tc>
      </w:tr>
    </w:tbl>
    <w:p>
      <w:pPr>
        <w:rPr>
          <w:rFonts w:hint="eastAsia" w:ascii="Times New Roman" w:hAnsi="Times New Roman" w:eastAsia="仿宋" w:cs="Times New Roman"/>
          <w:snapToGrid w:val="0"/>
          <w:kern w:val="0"/>
          <w:sz w:val="24"/>
          <w:szCs w:val="24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二、先诊疗后付费接口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省卫生健康委、省医保局、省乡村振兴局、省民政厅等12部门联合印发《关于巩固拓展健康脱贫成果同乡村振兴有效衔接的实施方案》(皖卫发〔2021〕29号)规定:农村低保对象、特困人员和脱贫不稳定户、边缘易致贫户、突发严重困难户等防止返贫监测对象在县域内住院实行“先诊疗后付费”，其中经基层首诊转诊的低保对象、特困人员在市域内定点医疗机构住院实行“先诊疗后付费”，即患者入院时无需缴纳住院押金:只需在出院时支付医保报销后的自付费用。</w:t>
      </w:r>
    </w:p>
    <w:tbl>
      <w:tblPr>
        <w:tblStyle w:val="11"/>
        <w:tblW w:w="9765" w:type="dxa"/>
        <w:tblInd w:w="-5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6"/>
        <w:gridCol w:w="2841"/>
        <w:gridCol w:w="3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343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人员身份类别</w:t>
            </w:r>
          </w:p>
        </w:tc>
        <w:tc>
          <w:tcPr>
            <w:tcW w:w="348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编码标准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3436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841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农村特困人员</w:t>
            </w:r>
          </w:p>
        </w:tc>
        <w:tc>
          <w:tcPr>
            <w:tcW w:w="348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3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841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农村低保人员</w:t>
            </w:r>
          </w:p>
        </w:tc>
        <w:tc>
          <w:tcPr>
            <w:tcW w:w="348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841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脱贫不稳定户</w:t>
            </w:r>
          </w:p>
        </w:tc>
        <w:tc>
          <w:tcPr>
            <w:tcW w:w="348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236038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841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边缘易致贫户</w:t>
            </w:r>
          </w:p>
        </w:tc>
        <w:tc>
          <w:tcPr>
            <w:tcW w:w="348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3405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841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突发严重困难户</w:t>
            </w:r>
          </w:p>
        </w:tc>
        <w:tc>
          <w:tcPr>
            <w:tcW w:w="348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3404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三、检验检查结果互联互通接口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tbl>
      <w:tblPr>
        <w:tblStyle w:val="10"/>
        <w:tblW w:w="57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476"/>
        <w:gridCol w:w="1461"/>
        <w:gridCol w:w="5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63" w:type="pct"/>
            <w:shd w:val="clear" w:color="auto" w:fill="auto"/>
            <w:noWrap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接口类型</w:t>
            </w:r>
          </w:p>
        </w:tc>
        <w:tc>
          <w:tcPr>
            <w:tcW w:w="3481" w:type="pct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接口内容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6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4" w:type="pct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检验检查结果互通共享接口</w:t>
            </w:r>
          </w:p>
        </w:tc>
        <w:tc>
          <w:tcPr>
            <w:tcW w:w="7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调阅外院检查检验数据</w:t>
            </w:r>
          </w:p>
        </w:tc>
        <w:tc>
          <w:tcPr>
            <w:tcW w:w="27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当医生在 HIS 工作站上查看患者信息时，根据患者信息匹配到外院检查检验数据后，客户端自动提醒医生该患者在外院有检查检验数据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6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4" w:type="pct"/>
            <w:vMerge w:val="continue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jc w:val="center"/>
              <w:textAlignment w:val="auto"/>
              <w:rPr>
                <w:rFonts w:hint="eastAsia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医生开单检查时，重复检查提醒（精准提醒）</w:t>
            </w:r>
          </w:p>
        </w:tc>
        <w:tc>
          <w:tcPr>
            <w:tcW w:w="27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当接诊医生选定检查检验项目时（此时未进行保存），通过此接口根据患者身份信息、检查检验模式、部位查询是否存在重复检查。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6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4" w:type="pct"/>
            <w:vMerge w:val="continue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jc w:val="center"/>
              <w:textAlignment w:val="auto"/>
              <w:rPr>
                <w:rFonts w:hint="eastAsia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提供HIS 系统检查字典表</w:t>
            </w:r>
          </w:p>
        </w:tc>
        <w:tc>
          <w:tcPr>
            <w:tcW w:w="27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 HIS 系统检查字典表 ,实时同步更新，查询本院字典表，如检查检验部位、 检查检验项目等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6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4" w:type="pct"/>
            <w:vMerge w:val="continue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jc w:val="center"/>
              <w:textAlignment w:val="auto"/>
              <w:rPr>
                <w:rFonts w:hint="eastAsia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提供临床医生信息接口</w:t>
            </w:r>
          </w:p>
        </w:tc>
        <w:tc>
          <w:tcPr>
            <w:tcW w:w="27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获取 HIS 系统中临床医生信息，当有医生信息修改时能自动同步，确保智联 网医院客户端能自动登录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6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4" w:type="pct"/>
            <w:vMerge w:val="continue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jc w:val="center"/>
              <w:textAlignment w:val="auto"/>
              <w:rPr>
                <w:rFonts w:hint="eastAsia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挂号或住院时，数据预取</w:t>
            </w:r>
          </w:p>
        </w:tc>
        <w:tc>
          <w:tcPr>
            <w:tcW w:w="27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当患者挂号后，提供患者信息，根据挂号信息提前查询外院的检查检验数据，将患者外院历史近期检查检验数据提前保存至本地服务器数据库，以便后续医生快速查阅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6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4" w:type="pct"/>
            <w:vMerge w:val="continue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jc w:val="center"/>
              <w:textAlignment w:val="auto"/>
              <w:rPr>
                <w:rFonts w:hint="eastAsia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检查检验收费信息获取接口</w:t>
            </w:r>
          </w:p>
        </w:tc>
        <w:tc>
          <w:tcPr>
            <w:tcW w:w="27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当患者缴纳、退还相关项目费用时，提供收费退费信息，将检查检验服务应用成效同步智联网医院监管子平台，展现数字影像服务成效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6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4" w:type="pct"/>
            <w:vMerge w:val="continue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jc w:val="center"/>
              <w:textAlignment w:val="auto"/>
              <w:rPr>
                <w:rFonts w:hint="eastAsia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科室字典获取接口</w:t>
            </w:r>
          </w:p>
        </w:tc>
        <w:tc>
          <w:tcPr>
            <w:tcW w:w="27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提供数据库视图，用于获取 HIS 系统中临床科室信息</w:t>
            </w: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四、全流程就诊接口</w:t>
      </w:r>
    </w:p>
    <w:tbl>
      <w:tblPr>
        <w:tblStyle w:val="10"/>
        <w:tblW w:w="55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476"/>
        <w:gridCol w:w="1461"/>
        <w:gridCol w:w="5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83" w:type="pct"/>
            <w:shd w:val="clear" w:color="auto" w:fill="auto"/>
            <w:noWrap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接口类型</w:t>
            </w:r>
          </w:p>
        </w:tc>
        <w:tc>
          <w:tcPr>
            <w:tcW w:w="3442" w:type="pct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接口内容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74" w:type="pct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多码融合全流程就诊</w:t>
            </w:r>
          </w:p>
        </w:tc>
        <w:tc>
          <w:tcPr>
            <w:tcW w:w="76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多码融合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门诊流程改造</w:t>
            </w:r>
          </w:p>
        </w:tc>
        <w:tc>
          <w:tcPr>
            <w:tcW w:w="2675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 HIS 工作站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、CIS工作站上支持电子健康卡等改造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74" w:type="pct"/>
            <w:vMerge w:val="continue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jc w:val="center"/>
              <w:textAlignment w:val="auto"/>
              <w:rPr>
                <w:rFonts w:hint="eastAsia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多码融合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住院流程改造</w:t>
            </w:r>
          </w:p>
        </w:tc>
        <w:tc>
          <w:tcPr>
            <w:tcW w:w="2675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 HIS 工作站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、CIS工作站上支持电子健康卡等改造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FCE7F4"/>
    <w:multiLevelType w:val="singleLevel"/>
    <w:tmpl w:val="F3FCE7F4"/>
    <w:lvl w:ilvl="0" w:tentative="0">
      <w:start w:val="1"/>
      <w:numFmt w:val="decimal"/>
      <w:suff w:val="nothing"/>
      <w:lvlText w:val="%1．"/>
      <w:lvlJc w:val="left"/>
      <w:pPr>
        <w:ind w:left="-260" w:firstLine="400"/>
      </w:pPr>
      <w:rPr>
        <w:rFonts w:hint="default"/>
      </w:rPr>
    </w:lvl>
  </w:abstractNum>
  <w:abstractNum w:abstractNumId="1">
    <w:nsid w:val="5F4B4E5C"/>
    <w:multiLevelType w:val="singleLevel"/>
    <w:tmpl w:val="5F4B4E5C"/>
    <w:lvl w:ilvl="0" w:tentative="0">
      <w:start w:val="1"/>
      <w:numFmt w:val="decimal"/>
      <w:suff w:val="nothing"/>
      <w:lvlText w:val="%1．"/>
      <w:lvlJc w:val="left"/>
      <w:pPr>
        <w:ind w:left="-26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0MWQ2ZmZjM2U0NGQ4YjY5NGE3MTM1MGIyZGZkOWYifQ=="/>
  </w:docVars>
  <w:rsids>
    <w:rsidRoot w:val="00255167"/>
    <w:rsid w:val="0016504A"/>
    <w:rsid w:val="00255167"/>
    <w:rsid w:val="005B49BC"/>
    <w:rsid w:val="007D1DD5"/>
    <w:rsid w:val="008D5E0A"/>
    <w:rsid w:val="00B3595E"/>
    <w:rsid w:val="00BA0076"/>
    <w:rsid w:val="00D75B4D"/>
    <w:rsid w:val="0DEE17D7"/>
    <w:rsid w:val="13393C35"/>
    <w:rsid w:val="175D1764"/>
    <w:rsid w:val="213E62D1"/>
    <w:rsid w:val="592E5EB4"/>
    <w:rsid w:val="6D7C6B9A"/>
    <w:rsid w:val="7BF91471"/>
    <w:rsid w:val="7D8B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nhideWhenUsed="0" w:uiPriority="99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8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  <w:szCs w:val="20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 w:firstLineChars="200"/>
    </w:pPr>
    <w:rPr>
      <w:rFonts w:ascii="Calibri" w:hAnsi="Calibri" w:cs="宋体"/>
      <w:szCs w:val="22"/>
    </w:rPr>
  </w:style>
  <w:style w:type="paragraph" w:styleId="4">
    <w:name w:val="Body Text"/>
    <w:basedOn w:val="1"/>
    <w:link w:val="19"/>
    <w:semiHidden/>
    <w:qFormat/>
    <w:uiPriority w:val="0"/>
    <w:pPr>
      <w:spacing w:after="120"/>
    </w:pPr>
    <w:rPr>
      <w:rFonts w:ascii="Calibri" w:hAnsi="Calibri"/>
      <w:szCs w:val="22"/>
    </w:rPr>
  </w:style>
  <w:style w:type="paragraph" w:styleId="5">
    <w:name w:val="Body Text Indent"/>
    <w:basedOn w:val="1"/>
    <w:link w:val="15"/>
    <w:semiHidden/>
    <w:unhideWhenUsed/>
    <w:qFormat/>
    <w:uiPriority w:val="99"/>
    <w:pPr>
      <w:spacing w:after="120"/>
      <w:ind w:left="420" w:leftChars="200"/>
    </w:pPr>
  </w:style>
  <w:style w:type="paragraph" w:styleId="6">
    <w:name w:val="index 4"/>
    <w:basedOn w:val="1"/>
    <w:next w:val="1"/>
    <w:qFormat/>
    <w:uiPriority w:val="99"/>
    <w:pPr>
      <w:ind w:left="600" w:leftChars="600"/>
    </w:pPr>
    <w:rPr>
      <w:rFonts w:ascii="Calibri" w:hAnsi="Calibri"/>
      <w:szCs w:val="24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next w:val="1"/>
    <w:link w:val="16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4">
    <w:name w:val="页脚 字符"/>
    <w:basedOn w:val="12"/>
    <w:link w:val="7"/>
    <w:qFormat/>
    <w:uiPriority w:val="99"/>
    <w:rPr>
      <w:sz w:val="18"/>
      <w:szCs w:val="18"/>
    </w:rPr>
  </w:style>
  <w:style w:type="character" w:customStyle="1" w:styleId="15">
    <w:name w:val="正文文本缩进 字符"/>
    <w:basedOn w:val="12"/>
    <w:link w:val="5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16">
    <w:name w:val="正文文本首行缩进 2 字符"/>
    <w:basedOn w:val="15"/>
    <w:link w:val="9"/>
    <w:qFormat/>
    <w:uiPriority w:val="0"/>
    <w:rPr>
      <w:rFonts w:ascii="Times New Roman" w:hAnsi="Times New Roman" w:eastAsia="宋体" w:cs="Times New Roman"/>
      <w:szCs w:val="21"/>
    </w:rPr>
  </w:style>
  <w:style w:type="paragraph" w:customStyle="1" w:styleId="17">
    <w:name w:val="正文_0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customStyle="1" w:styleId="18">
    <w:name w:val="标题 2 字符"/>
    <w:basedOn w:val="12"/>
    <w:link w:val="2"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19">
    <w:name w:val="正文文本 字符"/>
    <w:basedOn w:val="12"/>
    <w:link w:val="4"/>
    <w:semiHidden/>
    <w:qFormat/>
    <w:uiPriority w:val="0"/>
    <w:rPr>
      <w:rFonts w:ascii="Calibri" w:hAnsi="Calibri" w:eastAsia="宋体" w:cs="Times New Roman"/>
    </w:rPr>
  </w:style>
  <w:style w:type="paragraph" w:customStyle="1" w:styleId="20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0"/>
      <w:szCs w:val="20"/>
      <w:lang w:eastAsia="en-US"/>
    </w:rPr>
  </w:style>
  <w:style w:type="character" w:customStyle="1" w:styleId="21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2">
    <w:name w:val="font41"/>
    <w:basedOn w:val="12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23">
    <w:name w:val="font11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4">
    <w:name w:val="font51"/>
    <w:basedOn w:val="12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25">
    <w:name w:val="font61"/>
    <w:basedOn w:val="12"/>
    <w:qFormat/>
    <w:uiPriority w:val="0"/>
    <w:rPr>
      <w:rFonts w:hint="default" w:ascii="Calibri" w:hAnsi="Calibri" w:cs="Calibri"/>
      <w:color w:val="FF0000"/>
      <w:sz w:val="21"/>
      <w:szCs w:val="21"/>
      <w:u w:val="none"/>
    </w:rPr>
  </w:style>
  <w:style w:type="character" w:customStyle="1" w:styleId="26">
    <w:name w:val="font122"/>
    <w:basedOn w:val="12"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  <w:style w:type="character" w:customStyle="1" w:styleId="27">
    <w:name w:val="font81"/>
    <w:basedOn w:val="12"/>
    <w:qFormat/>
    <w:uiPriority w:val="0"/>
    <w:rPr>
      <w:rFonts w:hint="default" w:ascii="Calibri" w:hAnsi="Calibri" w:cs="Calibri"/>
      <w:strike/>
      <w:color w:val="000000"/>
      <w:sz w:val="21"/>
      <w:szCs w:val="21"/>
    </w:rPr>
  </w:style>
  <w:style w:type="character" w:customStyle="1" w:styleId="28">
    <w:name w:val="font131"/>
    <w:basedOn w:val="12"/>
    <w:qFormat/>
    <w:uiPriority w:val="0"/>
    <w:rPr>
      <w:rFonts w:hint="eastAsia" w:ascii="宋体" w:hAnsi="宋体" w:eastAsia="宋体" w:cs="宋体"/>
      <w:strike/>
      <w:color w:val="000000"/>
      <w:sz w:val="21"/>
      <w:szCs w:val="21"/>
    </w:rPr>
  </w:style>
  <w:style w:type="character" w:customStyle="1" w:styleId="29">
    <w:name w:val="font2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1238</Words>
  <Characters>1311</Characters>
  <Lines>45</Lines>
  <Paragraphs>12</Paragraphs>
  <TotalTime>7</TotalTime>
  <ScaleCrop>false</ScaleCrop>
  <LinksUpToDate>false</LinksUpToDate>
  <CharactersWithSpaces>1327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2023-09-07T03:15:00Z</dcterms:created>
  <dc:creator>DXG</dc:creator>
  <cp:lastModifiedBy>Administrator</cp:lastModifiedBy>
  <dcterms:modified xsi:type="dcterms:W3CDTF">2025-02-10T01:58:15Z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BAAEC0DECC1B49A8A7F73FF7D8DA2AF9_13</vt:lpwstr>
  </property>
</Properties>
</file>