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both"/>
        <w:rPr>
          <w:rFonts w:hint="eastAsia" w:asciiTheme="minorEastAsia" w:hAnsiTheme="minorEastAsia" w:eastAsiaTheme="minorEastAsia" w:cstheme="minorHAnsi"/>
          <w:sz w:val="72"/>
          <w:szCs w:val="72"/>
        </w:rPr>
      </w:pPr>
      <w:r>
        <w:rPr>
          <w:rFonts w:hint="eastAsia" w:asciiTheme="minorEastAsia" w:hAnsiTheme="minorEastAsia" w:eastAsiaTheme="minorEastAsia" w:cstheme="minorHAnsi"/>
          <w:sz w:val="72"/>
          <w:szCs w:val="72"/>
        </w:rPr>
        <w:t>设计招标</w:t>
      </w:r>
      <w:bookmarkStart w:id="0" w:name="_GoBack"/>
      <w:bookmarkEnd w:id="0"/>
      <w:r>
        <w:rPr>
          <w:rFonts w:hint="eastAsia" w:asciiTheme="minorEastAsia" w:hAnsiTheme="minorEastAsia" w:eastAsiaTheme="minorEastAsia" w:cstheme="minorHAnsi"/>
          <w:sz w:val="72"/>
          <w:szCs w:val="72"/>
        </w:rPr>
        <w:t>要求</w:t>
      </w:r>
    </w:p>
    <w:p/>
    <w:p>
      <w:pPr>
        <w:rPr>
          <w:rFonts w:hint="eastAsia"/>
          <w:sz w:val="32"/>
          <w:szCs w:val="32"/>
        </w:rPr>
      </w:pPr>
      <w:r>
        <w:rPr>
          <w:rFonts w:hint="eastAsia"/>
          <w:sz w:val="32"/>
          <w:szCs w:val="32"/>
        </w:rPr>
        <w:t>本项目为芜湖市第三人民医院</w:t>
      </w:r>
      <w:r>
        <w:rPr>
          <w:rFonts w:hint="eastAsia"/>
          <w:sz w:val="32"/>
          <w:szCs w:val="32"/>
          <w:lang w:eastAsia="zh-CN"/>
        </w:rPr>
        <w:t>双电源</w:t>
      </w:r>
      <w:r>
        <w:rPr>
          <w:rFonts w:hint="eastAsia"/>
          <w:sz w:val="32"/>
          <w:szCs w:val="32"/>
        </w:rPr>
        <w:t>改造项目，共包含5个部分的设计内容：</w:t>
      </w:r>
    </w:p>
    <w:p>
      <w:pPr>
        <w:rPr>
          <w:rFonts w:hint="eastAsia" w:eastAsia="宋体"/>
          <w:sz w:val="32"/>
          <w:szCs w:val="32"/>
          <w:lang w:eastAsia="zh-CN"/>
        </w:rPr>
      </w:pPr>
      <w:r>
        <w:rPr>
          <w:rFonts w:hint="eastAsia"/>
          <w:sz w:val="32"/>
          <w:szCs w:val="32"/>
        </w:rPr>
        <w:t>1）10KV外线设计（单路市电引入增容为双路市电引入</w:t>
      </w:r>
      <w:r>
        <w:rPr>
          <w:rFonts w:hint="eastAsia"/>
          <w:sz w:val="32"/>
          <w:szCs w:val="32"/>
          <w:lang w:eastAsia="zh-CN"/>
        </w:rPr>
        <w:t>，路经电缆井、顶管、开挖等</w:t>
      </w:r>
      <w:r>
        <w:rPr>
          <w:rFonts w:hint="eastAsia"/>
          <w:sz w:val="32"/>
          <w:szCs w:val="32"/>
        </w:rPr>
        <w:t>）</w:t>
      </w:r>
      <w:r>
        <w:rPr>
          <w:rFonts w:hint="eastAsia"/>
          <w:sz w:val="32"/>
          <w:szCs w:val="32"/>
          <w:lang w:eastAsia="zh-CN"/>
        </w:rPr>
        <w:t>；</w:t>
      </w:r>
    </w:p>
    <w:p>
      <w:pPr>
        <w:rPr>
          <w:rFonts w:hint="eastAsia" w:eastAsia="宋体"/>
          <w:sz w:val="32"/>
          <w:szCs w:val="32"/>
          <w:lang w:eastAsia="zh-CN"/>
        </w:rPr>
      </w:pPr>
      <w:r>
        <w:rPr>
          <w:rFonts w:hint="eastAsia"/>
          <w:sz w:val="32"/>
          <w:szCs w:val="32"/>
        </w:rPr>
        <w:t>2）新建10KV开闭所供配电系统设计</w:t>
      </w:r>
      <w:r>
        <w:rPr>
          <w:rFonts w:hint="eastAsia"/>
          <w:sz w:val="32"/>
          <w:szCs w:val="32"/>
          <w:lang w:eastAsia="zh-CN"/>
        </w:rPr>
        <w:t>（开闭所用房、工具房、值班室、安全用具库、卫生间）；</w:t>
      </w:r>
    </w:p>
    <w:p>
      <w:pPr>
        <w:rPr>
          <w:rFonts w:hint="eastAsia"/>
          <w:sz w:val="32"/>
          <w:szCs w:val="32"/>
        </w:rPr>
      </w:pPr>
      <w:r>
        <w:rPr>
          <w:rFonts w:hint="eastAsia"/>
          <w:sz w:val="32"/>
          <w:szCs w:val="32"/>
        </w:rPr>
        <w:t>3）现有10/0.4</w:t>
      </w:r>
      <w:r>
        <w:rPr>
          <w:rFonts w:hint="eastAsia"/>
          <w:sz w:val="32"/>
          <w:szCs w:val="32"/>
        </w:rPr>
        <w:tab/>
      </w:r>
      <w:r>
        <w:rPr>
          <w:rFonts w:hint="eastAsia"/>
          <w:sz w:val="32"/>
          <w:szCs w:val="32"/>
        </w:rPr>
        <w:t>KV变电所供配电系统改造设计</w:t>
      </w:r>
      <w:r>
        <w:rPr>
          <w:rFonts w:hint="eastAsia"/>
          <w:sz w:val="32"/>
          <w:szCs w:val="32"/>
          <w:lang w:eastAsia="zh-CN"/>
        </w:rPr>
        <w:t>（含接地系统及原有配电房标准化、土建等改造）</w:t>
      </w:r>
      <w:r>
        <w:rPr>
          <w:rFonts w:hint="eastAsia"/>
          <w:sz w:val="32"/>
          <w:szCs w:val="32"/>
        </w:rPr>
        <w:t>；</w:t>
      </w:r>
    </w:p>
    <w:p>
      <w:pPr>
        <w:rPr>
          <w:rFonts w:hint="eastAsia"/>
          <w:sz w:val="32"/>
          <w:szCs w:val="32"/>
        </w:rPr>
      </w:pPr>
      <w:r>
        <w:rPr>
          <w:rFonts w:hint="eastAsia"/>
          <w:sz w:val="32"/>
          <w:szCs w:val="32"/>
        </w:rPr>
        <w:t>4）0.4KV低压电缆改造设计</w:t>
      </w:r>
      <w:r>
        <w:rPr>
          <w:rFonts w:hint="eastAsia"/>
          <w:sz w:val="32"/>
          <w:szCs w:val="32"/>
          <w:lang w:eastAsia="zh-CN"/>
        </w:rPr>
        <w:t>（具体到每栋楼第一层）；</w:t>
      </w:r>
    </w:p>
    <w:p>
      <w:pPr>
        <w:numPr>
          <w:ilvl w:val="0"/>
          <w:numId w:val="1"/>
        </w:numPr>
        <w:rPr>
          <w:rFonts w:hint="eastAsia"/>
          <w:sz w:val="32"/>
          <w:szCs w:val="32"/>
        </w:rPr>
      </w:pPr>
      <w:r>
        <w:rPr>
          <w:rFonts w:hint="eastAsia"/>
          <w:sz w:val="32"/>
          <w:szCs w:val="32"/>
        </w:rPr>
        <w:t>以上相关内容的土建设计</w:t>
      </w:r>
      <w:r>
        <w:rPr>
          <w:rFonts w:hint="eastAsia"/>
          <w:sz w:val="32"/>
          <w:szCs w:val="32"/>
          <w:lang w:eastAsia="zh-CN"/>
        </w:rPr>
        <w:t>（含院内原有的高低压电缆井改造）；</w:t>
      </w:r>
    </w:p>
    <w:p>
      <w:pPr>
        <w:numPr>
          <w:ilvl w:val="0"/>
          <w:numId w:val="1"/>
        </w:numPr>
        <w:rPr>
          <w:rFonts w:hint="eastAsia"/>
          <w:sz w:val="32"/>
          <w:szCs w:val="32"/>
        </w:rPr>
      </w:pPr>
      <w:r>
        <w:rPr>
          <w:rFonts w:hint="eastAsia"/>
          <w:sz w:val="32"/>
          <w:szCs w:val="32"/>
          <w:lang w:eastAsia="zh-CN"/>
        </w:rPr>
        <w:t>该项目在实施过程中因为市政道路及下水管网等原因造成高低压通道及电缆井等变位改道，设计单位无偿重新变更设计出图</w:t>
      </w:r>
      <w:r>
        <w:rPr>
          <w:rFonts w:hint="eastAsia"/>
          <w:sz w:val="32"/>
          <w:szCs w:val="32"/>
          <w:lang w:val="en-US" w:eastAsia="zh-CN"/>
        </w:rPr>
        <w:t>;</w:t>
      </w:r>
    </w:p>
    <w:p>
      <w:pPr>
        <w:numPr>
          <w:ilvl w:val="0"/>
          <w:numId w:val="1"/>
        </w:numPr>
        <w:rPr>
          <w:rFonts w:hint="eastAsia"/>
          <w:sz w:val="32"/>
          <w:szCs w:val="32"/>
        </w:rPr>
      </w:pPr>
      <w:r>
        <w:rPr>
          <w:rFonts w:hint="eastAsia"/>
          <w:sz w:val="32"/>
          <w:szCs w:val="32"/>
          <w:lang w:eastAsia="zh-CN"/>
        </w:rPr>
        <w:t>因设计的原因造成土建、电气、返工、误工、材料、电气设备的损失由设计单位承担，费用及相应的赔偿</w:t>
      </w:r>
      <w:r>
        <w:rPr>
          <w:rFonts w:hint="eastAsia"/>
          <w:sz w:val="32"/>
          <w:szCs w:val="32"/>
          <w:lang w:val="en-US" w:eastAsia="zh-CN"/>
        </w:rPr>
        <w:t>;</w:t>
      </w:r>
    </w:p>
    <w:p>
      <w:pPr>
        <w:numPr>
          <w:ilvl w:val="0"/>
          <w:numId w:val="1"/>
        </w:numPr>
        <w:rPr>
          <w:rFonts w:hint="eastAsia"/>
          <w:sz w:val="32"/>
          <w:szCs w:val="32"/>
        </w:rPr>
      </w:pPr>
      <w:r>
        <w:rPr>
          <w:rFonts w:hint="eastAsia"/>
          <w:sz w:val="32"/>
          <w:szCs w:val="32"/>
          <w:lang w:eastAsia="zh-CN"/>
        </w:rPr>
        <w:t>该项目设计全程观察服务直至送电竣工。实施过程中因设计单位的原因造成工期延误，一次扣除设计费的</w:t>
      </w:r>
      <w:r>
        <w:rPr>
          <w:rFonts w:hint="eastAsia"/>
          <w:sz w:val="32"/>
          <w:szCs w:val="32"/>
          <w:lang w:val="en-US" w:eastAsia="zh-CN"/>
        </w:rPr>
        <w:t>30%，二次60%，三次100%;</w:t>
      </w:r>
    </w:p>
    <w:p>
      <w:pPr>
        <w:numPr>
          <w:ilvl w:val="0"/>
          <w:numId w:val="1"/>
        </w:numPr>
        <w:rPr>
          <w:rFonts w:hint="eastAsia"/>
          <w:sz w:val="32"/>
          <w:szCs w:val="32"/>
        </w:rPr>
      </w:pPr>
      <w:r>
        <w:rPr>
          <w:rFonts w:hint="eastAsia"/>
          <w:sz w:val="32"/>
          <w:szCs w:val="32"/>
          <w:lang w:val="en-US" w:eastAsia="zh-CN"/>
        </w:rPr>
        <w:t>设计单位的电气、土建、电缆规格等设计，需经芜湖供电公司及业主单位认可，如未经认可，擅自实施，造成的一切损失由设计单位承担;</w:t>
      </w:r>
    </w:p>
    <w:p>
      <w:pPr>
        <w:numPr>
          <w:ilvl w:val="0"/>
          <w:numId w:val="1"/>
        </w:numPr>
        <w:rPr>
          <w:rFonts w:hint="eastAsia"/>
          <w:sz w:val="32"/>
          <w:szCs w:val="32"/>
        </w:rPr>
      </w:pPr>
      <w:r>
        <w:rPr>
          <w:rFonts w:hint="eastAsia"/>
          <w:sz w:val="32"/>
          <w:szCs w:val="32"/>
          <w:lang w:val="en-US" w:eastAsia="zh-CN"/>
        </w:rPr>
        <w:t>设计业绩近三年内需有芜湖市医院变电所设计类似业绩。无医院（芜湖市）、变电所类似业绩的设计单位为无效。（设计单位投标时出据芜湖市医院近三年内变电所设计的合同正本及竣工图纸，或提供合同图纸扫描件电子档和竣工图纸电子档）。</w:t>
      </w:r>
    </w:p>
    <w:p>
      <w:pPr>
        <w:rPr>
          <w:rFonts w:hint="eastAsia"/>
          <w:sz w:val="32"/>
          <w:szCs w:val="32"/>
        </w:rPr>
      </w:pPr>
      <w:r>
        <w:rPr>
          <w:rFonts w:hint="eastAsia"/>
          <w:sz w:val="32"/>
          <w:szCs w:val="32"/>
        </w:rPr>
        <w:t>由于该项目由政府拨款，如最终工程招标总价超过拨款额度，则第四项改造内容再今后的工程中实施。由于该项目涉及的专业较多，因此对于资质要求以及设计负责的内容作出以下规定：</w:t>
      </w:r>
    </w:p>
    <w:p>
      <w:pPr>
        <w:rPr>
          <w:rFonts w:hint="eastAsia"/>
          <w:sz w:val="32"/>
          <w:szCs w:val="32"/>
        </w:rPr>
      </w:pPr>
      <w:r>
        <w:rPr>
          <w:rFonts w:hint="eastAsia"/>
          <w:sz w:val="32"/>
          <w:szCs w:val="32"/>
        </w:rPr>
        <w:t>一．设计资质要求</w:t>
      </w:r>
    </w:p>
    <w:p>
      <w:pPr>
        <w:rPr>
          <w:rFonts w:hint="eastAsia"/>
          <w:sz w:val="32"/>
          <w:szCs w:val="32"/>
        </w:rPr>
      </w:pPr>
      <w:r>
        <w:rPr>
          <w:rFonts w:hint="eastAsia"/>
          <w:sz w:val="32"/>
          <w:szCs w:val="32"/>
        </w:rPr>
        <w:t>需具备建筑行业（建筑工程）甲级资质；或者同时具备电力行业（变电工程、送电工程）专业乙级和工程勘察专业类(工程勘察)乙级。</w:t>
      </w:r>
    </w:p>
    <w:p>
      <w:pPr>
        <w:rPr>
          <w:sz w:val="32"/>
          <w:szCs w:val="32"/>
        </w:rPr>
      </w:pPr>
      <w:r>
        <w:rPr>
          <w:rFonts w:hint="eastAsia"/>
          <w:sz w:val="32"/>
          <w:szCs w:val="32"/>
        </w:rPr>
        <w:t>二．设计主要工作量</w:t>
      </w:r>
    </w:p>
    <w:p>
      <w:pPr>
        <w:pStyle w:val="40"/>
        <w:numPr>
          <w:ilvl w:val="0"/>
          <w:numId w:val="2"/>
        </w:numPr>
        <w:spacing w:line="360" w:lineRule="auto"/>
        <w:ind w:firstLineChars="0"/>
        <w:jc w:val="left"/>
        <w:rPr>
          <w:rFonts w:asciiTheme="minorEastAsia" w:hAnsiTheme="minorEastAsia" w:eastAsiaTheme="minorEastAsia" w:cstheme="minorHAnsi"/>
          <w:kern w:val="0"/>
          <w:sz w:val="32"/>
          <w:szCs w:val="32"/>
          <w:lang w:val="zh-CN"/>
        </w:rPr>
      </w:pPr>
      <w:r>
        <w:rPr>
          <w:rFonts w:hint="eastAsia" w:asciiTheme="minorEastAsia" w:hAnsiTheme="minorEastAsia" w:eastAsiaTheme="minorEastAsia" w:cstheme="minorHAnsi"/>
          <w:kern w:val="0"/>
          <w:sz w:val="32"/>
          <w:szCs w:val="32"/>
          <w:lang w:val="zh-CN"/>
        </w:rPr>
        <w:t>外市电引入设计（含土建）</w:t>
      </w:r>
    </w:p>
    <w:p>
      <w:pPr>
        <w:pStyle w:val="40"/>
        <w:numPr>
          <w:ilvl w:val="0"/>
          <w:numId w:val="2"/>
        </w:numPr>
        <w:spacing w:line="360" w:lineRule="auto"/>
        <w:ind w:firstLineChars="0"/>
        <w:jc w:val="left"/>
        <w:rPr>
          <w:rFonts w:asciiTheme="minorEastAsia" w:hAnsiTheme="minorEastAsia" w:eastAsiaTheme="minorEastAsia" w:cstheme="minorHAnsi"/>
          <w:kern w:val="0"/>
          <w:sz w:val="32"/>
          <w:szCs w:val="32"/>
          <w:lang w:val="zh-CN"/>
        </w:rPr>
      </w:pPr>
      <w:r>
        <w:rPr>
          <w:rFonts w:hint="eastAsia" w:asciiTheme="minorEastAsia" w:hAnsiTheme="minorEastAsia" w:eastAsiaTheme="minorEastAsia" w:cstheme="minorHAnsi"/>
          <w:kern w:val="0"/>
          <w:sz w:val="32"/>
          <w:szCs w:val="32"/>
          <w:lang w:val="zh-CN"/>
        </w:rPr>
        <w:t>医院10KV开闭所供配电系统设计（含土建）</w:t>
      </w:r>
    </w:p>
    <w:p>
      <w:pPr>
        <w:pStyle w:val="40"/>
        <w:numPr>
          <w:ilvl w:val="0"/>
          <w:numId w:val="2"/>
        </w:numPr>
        <w:spacing w:line="360" w:lineRule="auto"/>
        <w:ind w:firstLineChars="0"/>
        <w:jc w:val="left"/>
        <w:rPr>
          <w:rFonts w:asciiTheme="minorEastAsia" w:hAnsiTheme="minorEastAsia" w:eastAsiaTheme="minorEastAsia" w:cstheme="minorHAnsi"/>
          <w:kern w:val="0"/>
          <w:sz w:val="32"/>
          <w:szCs w:val="32"/>
          <w:lang w:val="zh-CN"/>
        </w:rPr>
      </w:pPr>
      <w:r>
        <w:rPr>
          <w:rFonts w:hint="eastAsia" w:asciiTheme="minorEastAsia" w:hAnsiTheme="minorEastAsia" w:eastAsiaTheme="minorEastAsia" w:cstheme="minorHAnsi"/>
          <w:kern w:val="0"/>
          <w:sz w:val="32"/>
          <w:szCs w:val="32"/>
          <w:lang w:val="zh-CN"/>
        </w:rPr>
        <w:t>医院现有变电所供配电系统改造设计（含土建）</w:t>
      </w:r>
    </w:p>
    <w:p>
      <w:pPr>
        <w:pStyle w:val="40"/>
        <w:numPr>
          <w:ilvl w:val="0"/>
          <w:numId w:val="2"/>
        </w:numPr>
        <w:spacing w:line="360" w:lineRule="auto"/>
        <w:ind w:firstLineChars="0"/>
        <w:jc w:val="left"/>
        <w:rPr>
          <w:rFonts w:asciiTheme="minorEastAsia" w:hAnsiTheme="minorEastAsia" w:eastAsiaTheme="minorEastAsia" w:cstheme="minorHAnsi"/>
          <w:kern w:val="0"/>
          <w:sz w:val="32"/>
          <w:szCs w:val="32"/>
          <w:lang w:val="zh-CN"/>
        </w:rPr>
      </w:pPr>
      <w:r>
        <w:rPr>
          <w:rFonts w:hint="eastAsia" w:asciiTheme="minorEastAsia" w:hAnsiTheme="minorEastAsia" w:eastAsiaTheme="minorEastAsia" w:cstheme="minorHAnsi"/>
          <w:kern w:val="0"/>
          <w:sz w:val="32"/>
          <w:szCs w:val="32"/>
          <w:lang w:val="zh-CN"/>
        </w:rPr>
        <w:t>医院内高低压管道网设计（含土建）</w:t>
      </w:r>
    </w:p>
    <w:p>
      <w:pPr>
        <w:pStyle w:val="40"/>
        <w:numPr>
          <w:ilvl w:val="0"/>
          <w:numId w:val="2"/>
        </w:numPr>
        <w:spacing w:line="360" w:lineRule="auto"/>
        <w:ind w:right="640" w:firstLineChars="0"/>
        <w:rPr>
          <w:rFonts w:asciiTheme="minorEastAsia" w:hAnsiTheme="minorEastAsia" w:eastAsiaTheme="minorEastAsia" w:cstheme="minorHAnsi"/>
          <w:sz w:val="32"/>
          <w:szCs w:val="32"/>
        </w:rPr>
      </w:pPr>
      <w:r>
        <w:rPr>
          <w:rFonts w:hint="eastAsia" w:asciiTheme="minorEastAsia" w:hAnsiTheme="minorEastAsia" w:eastAsiaTheme="minorEastAsia" w:cstheme="minorHAnsi"/>
          <w:sz w:val="32"/>
          <w:szCs w:val="32"/>
        </w:rPr>
        <w:t>各单体负荷计算书，</w:t>
      </w:r>
      <w:r>
        <w:rPr>
          <w:rFonts w:hint="eastAsia" w:asciiTheme="minorEastAsia" w:hAnsiTheme="minorEastAsia" w:eastAsiaTheme="minorEastAsia" w:cstheme="minorHAnsi"/>
          <w:sz w:val="32"/>
          <w:szCs w:val="32"/>
          <w:lang w:eastAsia="zh-CN"/>
        </w:rPr>
        <w:t>每层按负荷计算书，</w:t>
      </w:r>
      <w:r>
        <w:rPr>
          <w:rFonts w:hint="eastAsia" w:asciiTheme="minorEastAsia" w:hAnsiTheme="minorEastAsia" w:eastAsiaTheme="minorEastAsia" w:cstheme="minorHAnsi"/>
          <w:sz w:val="32"/>
          <w:szCs w:val="32"/>
        </w:rPr>
        <w:t>院区总体负荷计算书</w:t>
      </w:r>
    </w:p>
    <w:p>
      <w:pPr>
        <w:spacing w:line="360" w:lineRule="auto"/>
        <w:ind w:right="960"/>
        <w:rPr>
          <w:rFonts w:asciiTheme="minorEastAsia" w:hAnsiTheme="minorEastAsia" w:eastAsiaTheme="minorEastAsia" w:cstheme="minorHAnsi"/>
          <w:sz w:val="32"/>
          <w:szCs w:val="32"/>
        </w:rPr>
      </w:pPr>
      <w:r>
        <w:rPr>
          <w:rFonts w:hint="eastAsia" w:asciiTheme="minorEastAsia" w:hAnsiTheme="minorEastAsia" w:eastAsiaTheme="minorEastAsia" w:cstheme="minorHAnsi"/>
          <w:sz w:val="32"/>
          <w:szCs w:val="32"/>
        </w:rPr>
        <w:t>6.低压输出电缆设计（如工程总价超出拨款额度，则该部分设计内容延后实施）</w:t>
      </w:r>
    </w:p>
    <w:p>
      <w:pPr>
        <w:spacing w:line="360" w:lineRule="auto"/>
        <w:ind w:right="640"/>
        <w:rPr>
          <w:rFonts w:asciiTheme="minorEastAsia" w:hAnsiTheme="minorEastAsia" w:eastAsiaTheme="minorEastAsia" w:cstheme="minorHAnsi"/>
          <w:sz w:val="32"/>
          <w:szCs w:val="32"/>
        </w:rPr>
      </w:pPr>
      <w:r>
        <w:rPr>
          <w:rFonts w:hint="eastAsia" w:asciiTheme="minorEastAsia" w:hAnsiTheme="minorEastAsia" w:eastAsiaTheme="minorEastAsia" w:cstheme="minorHAnsi"/>
          <w:sz w:val="32"/>
          <w:szCs w:val="32"/>
        </w:rPr>
        <w:t>7.负责项目用电报装及施工图设计审图的全部流程。</w:t>
      </w:r>
    </w:p>
    <w:p>
      <w:pPr>
        <w:spacing w:line="360" w:lineRule="auto"/>
        <w:ind w:right="640"/>
        <w:rPr>
          <w:rFonts w:hint="eastAsia" w:asciiTheme="minorEastAsia" w:hAnsiTheme="minorEastAsia" w:eastAsiaTheme="minorEastAsia" w:cstheme="minorHAnsi"/>
          <w:sz w:val="32"/>
          <w:szCs w:val="32"/>
        </w:rPr>
      </w:pPr>
      <w:r>
        <w:rPr>
          <w:rFonts w:hint="eastAsia" w:asciiTheme="minorEastAsia" w:hAnsiTheme="minorEastAsia" w:eastAsiaTheme="minorEastAsia" w:cstheme="minorHAnsi"/>
          <w:sz w:val="32"/>
          <w:szCs w:val="32"/>
        </w:rPr>
        <w:t>8．负责在电力施工过程中与电力安装公司尽力配合，如遇到设计与施工不符的地方应及时现场解决。</w:t>
      </w:r>
    </w:p>
    <w:p>
      <w:pPr>
        <w:spacing w:line="360" w:lineRule="auto"/>
        <w:ind w:right="640"/>
        <w:rPr>
          <w:rFonts w:hint="eastAsia" w:asciiTheme="minorEastAsia" w:hAnsiTheme="minorEastAsia" w:eastAsiaTheme="minorEastAsia" w:cstheme="minorHAnsi"/>
          <w:sz w:val="32"/>
          <w:szCs w:val="32"/>
          <w:lang w:val="en-US" w:eastAsia="zh-CN"/>
        </w:rPr>
      </w:pPr>
      <w:r>
        <w:rPr>
          <w:rFonts w:hint="eastAsia" w:asciiTheme="minorEastAsia" w:hAnsiTheme="minorEastAsia" w:eastAsiaTheme="minorEastAsia" w:cstheme="minorHAnsi"/>
          <w:sz w:val="32"/>
          <w:szCs w:val="32"/>
          <w:lang w:val="en-US" w:eastAsia="zh-CN"/>
        </w:rPr>
        <w:t>9</w:t>
      </w:r>
      <w:r>
        <w:rPr>
          <w:rFonts w:hint="eastAsia" w:asciiTheme="minorEastAsia" w:hAnsiTheme="minorEastAsia" w:eastAsiaTheme="minorEastAsia" w:cstheme="minorHAnsi"/>
          <w:sz w:val="32"/>
          <w:szCs w:val="32"/>
        </w:rPr>
        <w:t>．</w:t>
      </w:r>
      <w:r>
        <w:rPr>
          <w:rFonts w:hint="eastAsia" w:asciiTheme="minorEastAsia" w:hAnsiTheme="minorEastAsia" w:eastAsiaTheme="minorEastAsia" w:cstheme="minorHAnsi"/>
          <w:sz w:val="32"/>
          <w:szCs w:val="32"/>
          <w:lang w:eastAsia="zh-CN"/>
        </w:rPr>
        <w:t>所有投标单位均需提前预约院内外现场勘察。</w:t>
      </w:r>
    </w:p>
    <w:p>
      <w:pPr>
        <w:spacing w:line="360" w:lineRule="auto"/>
        <w:ind w:right="640"/>
        <w:rPr>
          <w:rFonts w:hint="eastAsia" w:asciiTheme="minorEastAsia" w:hAnsiTheme="minorEastAsia" w:eastAsiaTheme="minorEastAsia" w:cstheme="minorHAnsi"/>
          <w:sz w:val="32"/>
          <w:szCs w:val="32"/>
          <w:lang w:val="en-US" w:eastAsia="zh-CN"/>
        </w:rPr>
      </w:pPr>
    </w:p>
    <w:sectPr>
      <w:headerReference r:id="rId4" w:type="first"/>
      <w:footerReference r:id="rId5" w:type="first"/>
      <w:headerReference r:id="rId3"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rPr>
        <w:sz w:val="21"/>
        <w:szCs w:val="21"/>
      </w:rPr>
    </w:pPr>
    <w:r>
      <w:rPr>
        <w:sz w:val="21"/>
        <w:szCs w:val="21"/>
      </w:rPr>
      <w:fldChar w:fldCharType="begin"/>
    </w:r>
    <w:r>
      <w:rPr>
        <w:rStyle w:val="19"/>
        <w:sz w:val="21"/>
      </w:rPr>
      <w:instrText xml:space="preserve"> PAGE </w:instrText>
    </w:r>
    <w:r>
      <w:rPr>
        <w:sz w:val="21"/>
        <w:szCs w:val="21"/>
      </w:rPr>
      <w:fldChar w:fldCharType="separate"/>
    </w:r>
    <w:r>
      <w:rPr>
        <w:rStyle w:val="19"/>
        <w:sz w:val="21"/>
      </w:rPr>
      <w:t>1</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505E24"/>
    <w:multiLevelType w:val="singleLevel"/>
    <w:tmpl w:val="44505E24"/>
    <w:lvl w:ilvl="0" w:tentative="0">
      <w:start w:val="5"/>
      <w:numFmt w:val="decimal"/>
      <w:suff w:val="space"/>
      <w:lvlText w:val="%1)"/>
      <w:lvlJc w:val="left"/>
    </w:lvl>
  </w:abstractNum>
  <w:abstractNum w:abstractNumId="1">
    <w:nsid w:val="484122AD"/>
    <w:multiLevelType w:val="multilevel"/>
    <w:tmpl w:val="484122AD"/>
    <w:lvl w:ilvl="0" w:tentative="0">
      <w:start w:val="1"/>
      <w:numFmt w:val="decimal"/>
      <w:lvlText w:val="%1."/>
      <w:lvlJc w:val="left"/>
      <w:pPr>
        <w:ind w:left="330" w:hanging="33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A4971"/>
    <w:rsid w:val="00004E8F"/>
    <w:rsid w:val="00005124"/>
    <w:rsid w:val="0000591B"/>
    <w:rsid w:val="000063C7"/>
    <w:rsid w:val="00011A0F"/>
    <w:rsid w:val="00016058"/>
    <w:rsid w:val="00020DA6"/>
    <w:rsid w:val="0002578F"/>
    <w:rsid w:val="00033B75"/>
    <w:rsid w:val="00034559"/>
    <w:rsid w:val="00036AB4"/>
    <w:rsid w:val="00041BFF"/>
    <w:rsid w:val="000513C7"/>
    <w:rsid w:val="000520A8"/>
    <w:rsid w:val="0005370D"/>
    <w:rsid w:val="0005558A"/>
    <w:rsid w:val="000559EB"/>
    <w:rsid w:val="00061398"/>
    <w:rsid w:val="0006357C"/>
    <w:rsid w:val="00064641"/>
    <w:rsid w:val="00065948"/>
    <w:rsid w:val="00067681"/>
    <w:rsid w:val="00071AC9"/>
    <w:rsid w:val="00072E4D"/>
    <w:rsid w:val="00076134"/>
    <w:rsid w:val="000809C8"/>
    <w:rsid w:val="00083629"/>
    <w:rsid w:val="0008364C"/>
    <w:rsid w:val="00083F56"/>
    <w:rsid w:val="000A402E"/>
    <w:rsid w:val="000A5B38"/>
    <w:rsid w:val="000B0005"/>
    <w:rsid w:val="000B42A2"/>
    <w:rsid w:val="000C1E8D"/>
    <w:rsid w:val="000C671A"/>
    <w:rsid w:val="000D1E6C"/>
    <w:rsid w:val="000D1E72"/>
    <w:rsid w:val="000E38A1"/>
    <w:rsid w:val="000E3AB2"/>
    <w:rsid w:val="000F2858"/>
    <w:rsid w:val="000F304A"/>
    <w:rsid w:val="000F39F1"/>
    <w:rsid w:val="00102FC5"/>
    <w:rsid w:val="001053C1"/>
    <w:rsid w:val="00105F8F"/>
    <w:rsid w:val="00112F3F"/>
    <w:rsid w:val="001133CA"/>
    <w:rsid w:val="001163BE"/>
    <w:rsid w:val="00116C6A"/>
    <w:rsid w:val="00121FCD"/>
    <w:rsid w:val="00135424"/>
    <w:rsid w:val="00140CBF"/>
    <w:rsid w:val="00155142"/>
    <w:rsid w:val="0015794B"/>
    <w:rsid w:val="00170C14"/>
    <w:rsid w:val="00181D9B"/>
    <w:rsid w:val="0019014B"/>
    <w:rsid w:val="00190629"/>
    <w:rsid w:val="0019371C"/>
    <w:rsid w:val="00195280"/>
    <w:rsid w:val="001A0BAF"/>
    <w:rsid w:val="001E7031"/>
    <w:rsid w:val="001F0314"/>
    <w:rsid w:val="001F08EC"/>
    <w:rsid w:val="001F4FD9"/>
    <w:rsid w:val="0020745B"/>
    <w:rsid w:val="00235B94"/>
    <w:rsid w:val="00241F94"/>
    <w:rsid w:val="00242E48"/>
    <w:rsid w:val="00243E38"/>
    <w:rsid w:val="00261543"/>
    <w:rsid w:val="00262E44"/>
    <w:rsid w:val="00263803"/>
    <w:rsid w:val="0027390F"/>
    <w:rsid w:val="00281B70"/>
    <w:rsid w:val="00284C02"/>
    <w:rsid w:val="002859DA"/>
    <w:rsid w:val="00286FE6"/>
    <w:rsid w:val="00297923"/>
    <w:rsid w:val="002A3868"/>
    <w:rsid w:val="002A5680"/>
    <w:rsid w:val="002B0FE6"/>
    <w:rsid w:val="002C4432"/>
    <w:rsid w:val="002D3200"/>
    <w:rsid w:val="002E1E0E"/>
    <w:rsid w:val="002E56B4"/>
    <w:rsid w:val="002F0BDE"/>
    <w:rsid w:val="002F456B"/>
    <w:rsid w:val="00311090"/>
    <w:rsid w:val="00317DB8"/>
    <w:rsid w:val="00320333"/>
    <w:rsid w:val="003303D8"/>
    <w:rsid w:val="00331815"/>
    <w:rsid w:val="00333CDC"/>
    <w:rsid w:val="00334C0C"/>
    <w:rsid w:val="0033510F"/>
    <w:rsid w:val="00337EC8"/>
    <w:rsid w:val="00340015"/>
    <w:rsid w:val="003425DE"/>
    <w:rsid w:val="003438E1"/>
    <w:rsid w:val="00345D0D"/>
    <w:rsid w:val="00350D92"/>
    <w:rsid w:val="00363B1D"/>
    <w:rsid w:val="00373AA1"/>
    <w:rsid w:val="00381902"/>
    <w:rsid w:val="00387349"/>
    <w:rsid w:val="00387E3A"/>
    <w:rsid w:val="00395B17"/>
    <w:rsid w:val="003A3A5B"/>
    <w:rsid w:val="003C2E03"/>
    <w:rsid w:val="003D3210"/>
    <w:rsid w:val="003D3342"/>
    <w:rsid w:val="003D4061"/>
    <w:rsid w:val="003D5AD5"/>
    <w:rsid w:val="003D5E9B"/>
    <w:rsid w:val="003E2F3E"/>
    <w:rsid w:val="003E4E73"/>
    <w:rsid w:val="003E7393"/>
    <w:rsid w:val="003F211C"/>
    <w:rsid w:val="00401705"/>
    <w:rsid w:val="00402430"/>
    <w:rsid w:val="00406853"/>
    <w:rsid w:val="004261AF"/>
    <w:rsid w:val="00431D8C"/>
    <w:rsid w:val="00435D01"/>
    <w:rsid w:val="0044377B"/>
    <w:rsid w:val="0044517C"/>
    <w:rsid w:val="00446417"/>
    <w:rsid w:val="004508BB"/>
    <w:rsid w:val="00460479"/>
    <w:rsid w:val="004650C5"/>
    <w:rsid w:val="00471459"/>
    <w:rsid w:val="00473536"/>
    <w:rsid w:val="004770F8"/>
    <w:rsid w:val="0048765F"/>
    <w:rsid w:val="004A56E1"/>
    <w:rsid w:val="004A6ACD"/>
    <w:rsid w:val="004A6EA5"/>
    <w:rsid w:val="004A7E48"/>
    <w:rsid w:val="004B0BD4"/>
    <w:rsid w:val="004B0C04"/>
    <w:rsid w:val="004B27F3"/>
    <w:rsid w:val="004B46DA"/>
    <w:rsid w:val="004B68C0"/>
    <w:rsid w:val="004B7CCF"/>
    <w:rsid w:val="004C6874"/>
    <w:rsid w:val="004D030B"/>
    <w:rsid w:val="004D154C"/>
    <w:rsid w:val="004D1C05"/>
    <w:rsid w:val="004E1130"/>
    <w:rsid w:val="004E33CB"/>
    <w:rsid w:val="004E35D5"/>
    <w:rsid w:val="004E6DEF"/>
    <w:rsid w:val="004F24A3"/>
    <w:rsid w:val="00504EBA"/>
    <w:rsid w:val="005058F0"/>
    <w:rsid w:val="005114B4"/>
    <w:rsid w:val="0051798B"/>
    <w:rsid w:val="005179CB"/>
    <w:rsid w:val="00540295"/>
    <w:rsid w:val="00550252"/>
    <w:rsid w:val="005637F8"/>
    <w:rsid w:val="00577575"/>
    <w:rsid w:val="005865C3"/>
    <w:rsid w:val="00587C9A"/>
    <w:rsid w:val="0059231B"/>
    <w:rsid w:val="0059332F"/>
    <w:rsid w:val="00594AF8"/>
    <w:rsid w:val="005967C2"/>
    <w:rsid w:val="005B380F"/>
    <w:rsid w:val="005B3E48"/>
    <w:rsid w:val="005C3F69"/>
    <w:rsid w:val="005C7A99"/>
    <w:rsid w:val="005D3AD5"/>
    <w:rsid w:val="005D3BC8"/>
    <w:rsid w:val="005D7628"/>
    <w:rsid w:val="005E104A"/>
    <w:rsid w:val="005E36C4"/>
    <w:rsid w:val="005F0F63"/>
    <w:rsid w:val="005F2A61"/>
    <w:rsid w:val="0060208E"/>
    <w:rsid w:val="006072FB"/>
    <w:rsid w:val="0061093E"/>
    <w:rsid w:val="00625E7C"/>
    <w:rsid w:val="0062654D"/>
    <w:rsid w:val="00630447"/>
    <w:rsid w:val="0063055F"/>
    <w:rsid w:val="00637BDD"/>
    <w:rsid w:val="00644D16"/>
    <w:rsid w:val="00650822"/>
    <w:rsid w:val="0065288B"/>
    <w:rsid w:val="00661DCA"/>
    <w:rsid w:val="006620ED"/>
    <w:rsid w:val="006643B3"/>
    <w:rsid w:val="00680E41"/>
    <w:rsid w:val="0068205F"/>
    <w:rsid w:val="0069332C"/>
    <w:rsid w:val="006A15CD"/>
    <w:rsid w:val="006A39E2"/>
    <w:rsid w:val="006B05AA"/>
    <w:rsid w:val="006C3837"/>
    <w:rsid w:val="006C4028"/>
    <w:rsid w:val="006C5E2E"/>
    <w:rsid w:val="006D0863"/>
    <w:rsid w:val="006D1EA1"/>
    <w:rsid w:val="006E63D9"/>
    <w:rsid w:val="0070068E"/>
    <w:rsid w:val="0070433D"/>
    <w:rsid w:val="007060A1"/>
    <w:rsid w:val="00710BCA"/>
    <w:rsid w:val="007171E8"/>
    <w:rsid w:val="0072177A"/>
    <w:rsid w:val="007244E1"/>
    <w:rsid w:val="0072674A"/>
    <w:rsid w:val="00730E8B"/>
    <w:rsid w:val="007317B5"/>
    <w:rsid w:val="007377C1"/>
    <w:rsid w:val="00737D13"/>
    <w:rsid w:val="007413ED"/>
    <w:rsid w:val="007421AE"/>
    <w:rsid w:val="00743401"/>
    <w:rsid w:val="0074485E"/>
    <w:rsid w:val="00746B06"/>
    <w:rsid w:val="00750F3E"/>
    <w:rsid w:val="0076787A"/>
    <w:rsid w:val="00770B2A"/>
    <w:rsid w:val="00771D6F"/>
    <w:rsid w:val="007749BF"/>
    <w:rsid w:val="0077624B"/>
    <w:rsid w:val="00781C1A"/>
    <w:rsid w:val="00783BB0"/>
    <w:rsid w:val="007844E3"/>
    <w:rsid w:val="0079283C"/>
    <w:rsid w:val="00793DE2"/>
    <w:rsid w:val="007A4E0B"/>
    <w:rsid w:val="007A7D7E"/>
    <w:rsid w:val="007B13DE"/>
    <w:rsid w:val="007B2169"/>
    <w:rsid w:val="007C0364"/>
    <w:rsid w:val="007C08C3"/>
    <w:rsid w:val="007C7DFB"/>
    <w:rsid w:val="007D208D"/>
    <w:rsid w:val="007D4EF6"/>
    <w:rsid w:val="007E5624"/>
    <w:rsid w:val="007E6755"/>
    <w:rsid w:val="007E7C76"/>
    <w:rsid w:val="007F0FD0"/>
    <w:rsid w:val="007F15C6"/>
    <w:rsid w:val="00801C79"/>
    <w:rsid w:val="00815AEA"/>
    <w:rsid w:val="0082375A"/>
    <w:rsid w:val="00826B2F"/>
    <w:rsid w:val="00832FC3"/>
    <w:rsid w:val="00835AE5"/>
    <w:rsid w:val="00841707"/>
    <w:rsid w:val="00852213"/>
    <w:rsid w:val="00873B82"/>
    <w:rsid w:val="00876C29"/>
    <w:rsid w:val="008825BE"/>
    <w:rsid w:val="00883E32"/>
    <w:rsid w:val="00893FDD"/>
    <w:rsid w:val="00894397"/>
    <w:rsid w:val="008A36BD"/>
    <w:rsid w:val="008A38BB"/>
    <w:rsid w:val="008B5524"/>
    <w:rsid w:val="008B7B1B"/>
    <w:rsid w:val="008C4CC8"/>
    <w:rsid w:val="008D1797"/>
    <w:rsid w:val="008E25A2"/>
    <w:rsid w:val="008E3372"/>
    <w:rsid w:val="008E3493"/>
    <w:rsid w:val="008F74E5"/>
    <w:rsid w:val="00902250"/>
    <w:rsid w:val="00905EDD"/>
    <w:rsid w:val="00916B1F"/>
    <w:rsid w:val="00921150"/>
    <w:rsid w:val="00925DCF"/>
    <w:rsid w:val="00934A3F"/>
    <w:rsid w:val="009353BB"/>
    <w:rsid w:val="00941056"/>
    <w:rsid w:val="009416DB"/>
    <w:rsid w:val="009427CD"/>
    <w:rsid w:val="00947CDA"/>
    <w:rsid w:val="0095328B"/>
    <w:rsid w:val="009561A5"/>
    <w:rsid w:val="009566CB"/>
    <w:rsid w:val="009615E8"/>
    <w:rsid w:val="00977DF3"/>
    <w:rsid w:val="00982729"/>
    <w:rsid w:val="009912B6"/>
    <w:rsid w:val="00992B22"/>
    <w:rsid w:val="00993083"/>
    <w:rsid w:val="009A69DA"/>
    <w:rsid w:val="009B6B70"/>
    <w:rsid w:val="009B6FBC"/>
    <w:rsid w:val="009B7DF8"/>
    <w:rsid w:val="009D53FE"/>
    <w:rsid w:val="009D54DC"/>
    <w:rsid w:val="009E5ABF"/>
    <w:rsid w:val="009E5D29"/>
    <w:rsid w:val="00A06932"/>
    <w:rsid w:val="00A304DB"/>
    <w:rsid w:val="00A34648"/>
    <w:rsid w:val="00A377CB"/>
    <w:rsid w:val="00A4067D"/>
    <w:rsid w:val="00A4739B"/>
    <w:rsid w:val="00A52AC2"/>
    <w:rsid w:val="00A55143"/>
    <w:rsid w:val="00A61C8B"/>
    <w:rsid w:val="00A63A81"/>
    <w:rsid w:val="00A73190"/>
    <w:rsid w:val="00A84E4C"/>
    <w:rsid w:val="00A852A3"/>
    <w:rsid w:val="00A90BEB"/>
    <w:rsid w:val="00A96DBF"/>
    <w:rsid w:val="00A96DC0"/>
    <w:rsid w:val="00AA2768"/>
    <w:rsid w:val="00AB0DCF"/>
    <w:rsid w:val="00AB3086"/>
    <w:rsid w:val="00AB60D7"/>
    <w:rsid w:val="00AB7CEF"/>
    <w:rsid w:val="00AC47BE"/>
    <w:rsid w:val="00AC4826"/>
    <w:rsid w:val="00AC57BE"/>
    <w:rsid w:val="00AD484B"/>
    <w:rsid w:val="00AD6274"/>
    <w:rsid w:val="00AE07AF"/>
    <w:rsid w:val="00AE0F18"/>
    <w:rsid w:val="00AF0439"/>
    <w:rsid w:val="00AF1262"/>
    <w:rsid w:val="00AF2EF6"/>
    <w:rsid w:val="00B00AD5"/>
    <w:rsid w:val="00B01C45"/>
    <w:rsid w:val="00B04398"/>
    <w:rsid w:val="00B11BF0"/>
    <w:rsid w:val="00B23202"/>
    <w:rsid w:val="00B30432"/>
    <w:rsid w:val="00B33F8C"/>
    <w:rsid w:val="00B35561"/>
    <w:rsid w:val="00B37120"/>
    <w:rsid w:val="00B52873"/>
    <w:rsid w:val="00B54E9D"/>
    <w:rsid w:val="00B5535B"/>
    <w:rsid w:val="00B55645"/>
    <w:rsid w:val="00B579B7"/>
    <w:rsid w:val="00B72D77"/>
    <w:rsid w:val="00B73B6E"/>
    <w:rsid w:val="00B74ACA"/>
    <w:rsid w:val="00B74CFC"/>
    <w:rsid w:val="00B8304A"/>
    <w:rsid w:val="00B87FF3"/>
    <w:rsid w:val="00B9092F"/>
    <w:rsid w:val="00B94AD3"/>
    <w:rsid w:val="00BA1138"/>
    <w:rsid w:val="00BA5FD6"/>
    <w:rsid w:val="00BA6B3F"/>
    <w:rsid w:val="00BA6D15"/>
    <w:rsid w:val="00BA7C6A"/>
    <w:rsid w:val="00BB3417"/>
    <w:rsid w:val="00BB65CB"/>
    <w:rsid w:val="00BB77CF"/>
    <w:rsid w:val="00BC11F8"/>
    <w:rsid w:val="00BC1288"/>
    <w:rsid w:val="00BC3F3D"/>
    <w:rsid w:val="00BC6F73"/>
    <w:rsid w:val="00BD1699"/>
    <w:rsid w:val="00BD1E00"/>
    <w:rsid w:val="00BD380A"/>
    <w:rsid w:val="00BD57C2"/>
    <w:rsid w:val="00BD5F4B"/>
    <w:rsid w:val="00BD5F62"/>
    <w:rsid w:val="00BE0260"/>
    <w:rsid w:val="00BE1FC3"/>
    <w:rsid w:val="00BE6C65"/>
    <w:rsid w:val="00BF2F53"/>
    <w:rsid w:val="00C0102F"/>
    <w:rsid w:val="00C03636"/>
    <w:rsid w:val="00C03B17"/>
    <w:rsid w:val="00C112F0"/>
    <w:rsid w:val="00C129EE"/>
    <w:rsid w:val="00C131A3"/>
    <w:rsid w:val="00C14E8D"/>
    <w:rsid w:val="00C16C81"/>
    <w:rsid w:val="00C2314E"/>
    <w:rsid w:val="00C23314"/>
    <w:rsid w:val="00C24924"/>
    <w:rsid w:val="00C54A17"/>
    <w:rsid w:val="00C54BFC"/>
    <w:rsid w:val="00C56006"/>
    <w:rsid w:val="00C6507D"/>
    <w:rsid w:val="00C7780F"/>
    <w:rsid w:val="00CA7226"/>
    <w:rsid w:val="00CA7D42"/>
    <w:rsid w:val="00CB32A9"/>
    <w:rsid w:val="00CB4F6F"/>
    <w:rsid w:val="00CC1D15"/>
    <w:rsid w:val="00CC33ED"/>
    <w:rsid w:val="00CC4787"/>
    <w:rsid w:val="00CC6523"/>
    <w:rsid w:val="00CD6E84"/>
    <w:rsid w:val="00CE63A4"/>
    <w:rsid w:val="00CE6DDD"/>
    <w:rsid w:val="00D02265"/>
    <w:rsid w:val="00D02CA0"/>
    <w:rsid w:val="00D03C79"/>
    <w:rsid w:val="00D07612"/>
    <w:rsid w:val="00D10C95"/>
    <w:rsid w:val="00D151A4"/>
    <w:rsid w:val="00D15754"/>
    <w:rsid w:val="00D22300"/>
    <w:rsid w:val="00D24A3B"/>
    <w:rsid w:val="00D24CE2"/>
    <w:rsid w:val="00D304D2"/>
    <w:rsid w:val="00D30741"/>
    <w:rsid w:val="00D369B6"/>
    <w:rsid w:val="00D40370"/>
    <w:rsid w:val="00D41122"/>
    <w:rsid w:val="00D41882"/>
    <w:rsid w:val="00D41ED1"/>
    <w:rsid w:val="00D45530"/>
    <w:rsid w:val="00D57575"/>
    <w:rsid w:val="00D605EE"/>
    <w:rsid w:val="00D70337"/>
    <w:rsid w:val="00D904B1"/>
    <w:rsid w:val="00D936E8"/>
    <w:rsid w:val="00D9743D"/>
    <w:rsid w:val="00DA3747"/>
    <w:rsid w:val="00DA5297"/>
    <w:rsid w:val="00DA6AD7"/>
    <w:rsid w:val="00DD17E1"/>
    <w:rsid w:val="00DD3D6D"/>
    <w:rsid w:val="00DD54D1"/>
    <w:rsid w:val="00DD63EC"/>
    <w:rsid w:val="00DF65D5"/>
    <w:rsid w:val="00E017CF"/>
    <w:rsid w:val="00E02568"/>
    <w:rsid w:val="00E027F8"/>
    <w:rsid w:val="00E04405"/>
    <w:rsid w:val="00E06C06"/>
    <w:rsid w:val="00E10D6D"/>
    <w:rsid w:val="00E12908"/>
    <w:rsid w:val="00E12A62"/>
    <w:rsid w:val="00E17375"/>
    <w:rsid w:val="00E249B3"/>
    <w:rsid w:val="00E30263"/>
    <w:rsid w:val="00E31470"/>
    <w:rsid w:val="00E35F19"/>
    <w:rsid w:val="00E3683D"/>
    <w:rsid w:val="00E42E61"/>
    <w:rsid w:val="00E43F1B"/>
    <w:rsid w:val="00E4662D"/>
    <w:rsid w:val="00E55C44"/>
    <w:rsid w:val="00E560DC"/>
    <w:rsid w:val="00E577F2"/>
    <w:rsid w:val="00E73419"/>
    <w:rsid w:val="00E84072"/>
    <w:rsid w:val="00E86AFF"/>
    <w:rsid w:val="00E9461C"/>
    <w:rsid w:val="00EA5C07"/>
    <w:rsid w:val="00EB3506"/>
    <w:rsid w:val="00EB7737"/>
    <w:rsid w:val="00EC6C9D"/>
    <w:rsid w:val="00EC7392"/>
    <w:rsid w:val="00ED3FDE"/>
    <w:rsid w:val="00ED6E51"/>
    <w:rsid w:val="00EE294D"/>
    <w:rsid w:val="00EE3531"/>
    <w:rsid w:val="00EE52DD"/>
    <w:rsid w:val="00EE7BF2"/>
    <w:rsid w:val="00EF11DC"/>
    <w:rsid w:val="00F031B9"/>
    <w:rsid w:val="00F05D67"/>
    <w:rsid w:val="00F17568"/>
    <w:rsid w:val="00F35AB7"/>
    <w:rsid w:val="00F41044"/>
    <w:rsid w:val="00F530E2"/>
    <w:rsid w:val="00F719D3"/>
    <w:rsid w:val="00F8112C"/>
    <w:rsid w:val="00F819CC"/>
    <w:rsid w:val="00F82AB5"/>
    <w:rsid w:val="00F86B4A"/>
    <w:rsid w:val="00FA1EDA"/>
    <w:rsid w:val="00FA3038"/>
    <w:rsid w:val="00FA4971"/>
    <w:rsid w:val="00FB698A"/>
    <w:rsid w:val="00FB7763"/>
    <w:rsid w:val="00FB7D44"/>
    <w:rsid w:val="00FC74CA"/>
    <w:rsid w:val="00FD55E3"/>
    <w:rsid w:val="00FE1DAB"/>
    <w:rsid w:val="00FE6682"/>
    <w:rsid w:val="00FF11C2"/>
    <w:rsid w:val="06E4464B"/>
    <w:rsid w:val="23823EDB"/>
    <w:rsid w:val="28755B5E"/>
    <w:rsid w:val="28E70DFB"/>
    <w:rsid w:val="4D934E93"/>
    <w:rsid w:val="50EB6907"/>
    <w:rsid w:val="5178777D"/>
    <w:rsid w:val="518B662C"/>
    <w:rsid w:val="594A209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4"/>
    <w:qFormat/>
    <w:uiPriority w:val="9"/>
    <w:pPr>
      <w:keepNext/>
      <w:keepLines/>
      <w:spacing w:before="200" w:after="200" w:line="360" w:lineRule="auto"/>
      <w:jc w:val="center"/>
      <w:outlineLvl w:val="0"/>
    </w:pPr>
    <w:rPr>
      <w:rFonts w:asciiTheme="minorHAnsi" w:hAnsiTheme="minorHAnsi"/>
      <w:b/>
      <w:bCs/>
      <w:kern w:val="44"/>
      <w:sz w:val="28"/>
      <w:szCs w:val="44"/>
    </w:rPr>
  </w:style>
  <w:style w:type="paragraph" w:styleId="3">
    <w:name w:val="heading 2"/>
    <w:basedOn w:val="1"/>
    <w:next w:val="1"/>
    <w:link w:val="30"/>
    <w:unhideWhenUsed/>
    <w:qFormat/>
    <w:uiPriority w:val="0"/>
    <w:pPr>
      <w:keepNext/>
      <w:keepLines/>
      <w:spacing w:before="80" w:after="80"/>
      <w:jc w:val="center"/>
      <w:outlineLvl w:val="1"/>
    </w:pPr>
    <w:rPr>
      <w:rFonts w:ascii="Cambria" w:hAnsi="Cambria"/>
      <w:b/>
      <w:bCs/>
      <w:sz w:val="28"/>
      <w:szCs w:val="32"/>
    </w:rPr>
  </w:style>
  <w:style w:type="paragraph" w:styleId="4">
    <w:name w:val="heading 3"/>
    <w:basedOn w:val="1"/>
    <w:next w:val="1"/>
    <w:link w:val="41"/>
    <w:unhideWhenUsed/>
    <w:qFormat/>
    <w:uiPriority w:val="9"/>
    <w:pPr>
      <w:keepNext/>
      <w:keepLines/>
      <w:spacing w:before="260" w:after="260" w:line="416" w:lineRule="auto"/>
      <w:outlineLvl w:val="2"/>
    </w:pPr>
    <w:rPr>
      <w:b/>
      <w:bCs/>
      <w:sz w:val="32"/>
      <w:szCs w:val="3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rPr>
      <w:rFonts w:ascii="Calibri" w:hAnsi="Calibri"/>
      <w:szCs w:val="20"/>
    </w:rPr>
  </w:style>
  <w:style w:type="paragraph" w:styleId="6">
    <w:name w:val="Document Map"/>
    <w:basedOn w:val="1"/>
    <w:link w:val="32"/>
    <w:semiHidden/>
    <w:qFormat/>
    <w:uiPriority w:val="0"/>
    <w:pPr>
      <w:shd w:val="clear" w:color="auto" w:fill="000080"/>
    </w:pPr>
  </w:style>
  <w:style w:type="paragraph" w:styleId="7">
    <w:name w:val="Body Text"/>
    <w:basedOn w:val="1"/>
    <w:link w:val="34"/>
    <w:qFormat/>
    <w:uiPriority w:val="0"/>
    <w:rPr>
      <w:sz w:val="28"/>
    </w:rPr>
  </w:style>
  <w:style w:type="paragraph" w:styleId="8">
    <w:name w:val="Plain Text"/>
    <w:basedOn w:val="1"/>
    <w:link w:val="27"/>
    <w:qFormat/>
    <w:uiPriority w:val="0"/>
    <w:pPr>
      <w:spacing w:line="360" w:lineRule="auto"/>
      <w:ind w:firstLine="480" w:firstLineChars="200"/>
    </w:pPr>
    <w:rPr>
      <w:rFonts w:ascii="宋体" w:hAnsi="Courier New" w:cs="Courier New"/>
      <w:sz w:val="24"/>
      <w:szCs w:val="21"/>
    </w:rPr>
  </w:style>
  <w:style w:type="paragraph" w:styleId="9">
    <w:name w:val="Body Text Indent 2"/>
    <w:basedOn w:val="1"/>
    <w:link w:val="35"/>
    <w:qFormat/>
    <w:uiPriority w:val="0"/>
    <w:pPr>
      <w:tabs>
        <w:tab w:val="left" w:pos="1896"/>
        <w:tab w:val="left" w:pos="9291"/>
      </w:tabs>
      <w:ind w:left="840" w:hanging="840" w:hangingChars="300"/>
      <w:jc w:val="left"/>
    </w:pPr>
    <w:rPr>
      <w:sz w:val="28"/>
    </w:rPr>
  </w:style>
  <w:style w:type="paragraph" w:styleId="10">
    <w:name w:val="Balloon Text"/>
    <w:basedOn w:val="1"/>
    <w:link w:val="36"/>
    <w:semiHidden/>
    <w:qFormat/>
    <w:uiPriority w:val="0"/>
    <w:rPr>
      <w:sz w:val="18"/>
      <w:szCs w:val="18"/>
    </w:rPr>
  </w:style>
  <w:style w:type="paragraph" w:styleId="11">
    <w:name w:val="footer"/>
    <w:basedOn w:val="1"/>
    <w:link w:val="22"/>
    <w:unhideWhenUsed/>
    <w:qFormat/>
    <w:uiPriority w:val="0"/>
    <w:pPr>
      <w:tabs>
        <w:tab w:val="center" w:pos="4153"/>
        <w:tab w:val="right" w:pos="8306"/>
      </w:tabs>
      <w:snapToGrid w:val="0"/>
      <w:jc w:val="left"/>
    </w:pPr>
    <w:rPr>
      <w:sz w:val="18"/>
      <w:szCs w:val="18"/>
    </w:rPr>
  </w:style>
  <w:style w:type="paragraph" w:styleId="12">
    <w:name w:val="header"/>
    <w:basedOn w:val="1"/>
    <w:link w:val="21"/>
    <w:unhideWhenUsed/>
    <w:qFormat/>
    <w:uiPriority w:val="0"/>
    <w:pPr>
      <w:pBdr>
        <w:bottom w:val="single" w:color="auto" w:sz="6" w:space="1"/>
      </w:pBdr>
      <w:tabs>
        <w:tab w:val="center" w:pos="4153"/>
        <w:tab w:val="right" w:pos="8306"/>
      </w:tabs>
      <w:snapToGrid w:val="0"/>
      <w:jc w:val="center"/>
    </w:pPr>
    <w:rPr>
      <w:sz w:val="18"/>
      <w:szCs w:val="18"/>
    </w:rPr>
  </w:style>
  <w:style w:type="paragraph" w:styleId="13">
    <w:name w:val="List"/>
    <w:basedOn w:val="1"/>
    <w:qFormat/>
    <w:uiPriority w:val="0"/>
    <w:pPr>
      <w:ind w:left="200" w:hanging="200" w:hangingChars="200"/>
    </w:pPr>
    <w:rPr>
      <w:szCs w:val="20"/>
    </w:rPr>
  </w:style>
  <w:style w:type="paragraph" w:styleId="14">
    <w:name w:val="HTML Preformatted"/>
    <w:basedOn w:val="1"/>
    <w:link w:val="28"/>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szCs w:val="20"/>
    </w:rPr>
  </w:style>
  <w:style w:type="paragraph" w:styleId="15">
    <w:name w:val="Body Text First Indent"/>
    <w:basedOn w:val="7"/>
    <w:link w:val="39"/>
    <w:semiHidden/>
    <w:unhideWhenUsed/>
    <w:qFormat/>
    <w:uiPriority w:val="99"/>
    <w:pPr>
      <w:spacing w:after="120"/>
      <w:ind w:firstLine="420" w:firstLineChars="100"/>
    </w:pPr>
    <w:rPr>
      <w:sz w:val="21"/>
    </w:rPr>
  </w:style>
  <w:style w:type="table" w:styleId="17">
    <w:name w:val="Table Grid"/>
    <w:basedOn w:val="16"/>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page number"/>
    <w:basedOn w:val="18"/>
    <w:qFormat/>
    <w:uiPriority w:val="0"/>
  </w:style>
  <w:style w:type="character" w:styleId="20">
    <w:name w:val="annotation reference"/>
    <w:qFormat/>
    <w:uiPriority w:val="0"/>
    <w:rPr>
      <w:sz w:val="21"/>
      <w:szCs w:val="21"/>
    </w:rPr>
  </w:style>
  <w:style w:type="character" w:customStyle="1" w:styleId="21">
    <w:name w:val="页眉 Char1"/>
    <w:basedOn w:val="18"/>
    <w:link w:val="12"/>
    <w:qFormat/>
    <w:uiPriority w:val="99"/>
    <w:rPr>
      <w:sz w:val="18"/>
      <w:szCs w:val="18"/>
    </w:rPr>
  </w:style>
  <w:style w:type="character" w:customStyle="1" w:styleId="22">
    <w:name w:val="页脚 Char1"/>
    <w:basedOn w:val="18"/>
    <w:link w:val="11"/>
    <w:qFormat/>
    <w:uiPriority w:val="99"/>
    <w:rPr>
      <w:sz w:val="18"/>
      <w:szCs w:val="18"/>
    </w:rPr>
  </w:style>
  <w:style w:type="paragraph" w:customStyle="1" w:styleId="23">
    <w:name w:val="Section V. Header"/>
    <w:basedOn w:val="1"/>
    <w:qFormat/>
    <w:uiPriority w:val="0"/>
    <w:pPr>
      <w:widowControl/>
      <w:jc w:val="center"/>
    </w:pPr>
    <w:rPr>
      <w:b/>
      <w:kern w:val="0"/>
      <w:sz w:val="36"/>
    </w:rPr>
  </w:style>
  <w:style w:type="character" w:customStyle="1" w:styleId="24">
    <w:name w:val="标题 1 Char"/>
    <w:basedOn w:val="18"/>
    <w:link w:val="2"/>
    <w:qFormat/>
    <w:uiPriority w:val="9"/>
    <w:rPr>
      <w:rFonts w:eastAsia="宋体" w:cs="Times New Roman"/>
      <w:b/>
      <w:bCs/>
      <w:kern w:val="44"/>
      <w:sz w:val="28"/>
      <w:szCs w:val="44"/>
    </w:rPr>
  </w:style>
  <w:style w:type="character" w:customStyle="1" w:styleId="25">
    <w:name w:val="纯文本 字符"/>
    <w:basedOn w:val="18"/>
    <w:semiHidden/>
    <w:qFormat/>
    <w:uiPriority w:val="99"/>
    <w:rPr>
      <w:rFonts w:hAnsi="Courier New" w:cs="Courier New" w:asciiTheme="minorEastAsia"/>
      <w:szCs w:val="24"/>
    </w:rPr>
  </w:style>
  <w:style w:type="character" w:customStyle="1" w:styleId="26">
    <w:name w:val="HTML 预设格式 字符"/>
    <w:basedOn w:val="18"/>
    <w:qFormat/>
    <w:uiPriority w:val="0"/>
    <w:rPr>
      <w:rFonts w:ascii="Courier New" w:hAnsi="Courier New" w:eastAsia="宋体" w:cs="Courier New"/>
      <w:sz w:val="20"/>
      <w:szCs w:val="20"/>
    </w:rPr>
  </w:style>
  <w:style w:type="character" w:customStyle="1" w:styleId="27">
    <w:name w:val="纯文本 Char1"/>
    <w:basedOn w:val="18"/>
    <w:link w:val="8"/>
    <w:qFormat/>
    <w:uiPriority w:val="0"/>
    <w:rPr>
      <w:rFonts w:ascii="宋体" w:hAnsi="Courier New" w:eastAsia="宋体" w:cs="Courier New"/>
      <w:sz w:val="24"/>
      <w:szCs w:val="21"/>
    </w:rPr>
  </w:style>
  <w:style w:type="character" w:customStyle="1" w:styleId="28">
    <w:name w:val="HTML 预设格式 Char1"/>
    <w:basedOn w:val="18"/>
    <w:link w:val="14"/>
    <w:qFormat/>
    <w:uiPriority w:val="0"/>
    <w:rPr>
      <w:rFonts w:ascii="黑体" w:hAnsi="Courier New" w:eastAsia="黑体" w:cs="Courier New"/>
      <w:kern w:val="0"/>
      <w:sz w:val="20"/>
      <w:szCs w:val="20"/>
    </w:rPr>
  </w:style>
  <w:style w:type="character" w:customStyle="1" w:styleId="29">
    <w:name w:val="页脚 Char"/>
    <w:basedOn w:val="18"/>
    <w:qFormat/>
    <w:uiPriority w:val="99"/>
    <w:rPr>
      <w:kern w:val="2"/>
      <w:sz w:val="18"/>
      <w:szCs w:val="18"/>
    </w:rPr>
  </w:style>
  <w:style w:type="character" w:customStyle="1" w:styleId="30">
    <w:name w:val="标题 2 Char"/>
    <w:basedOn w:val="18"/>
    <w:link w:val="3"/>
    <w:qFormat/>
    <w:uiPriority w:val="0"/>
    <w:rPr>
      <w:rFonts w:ascii="Cambria" w:hAnsi="Cambria" w:eastAsia="宋体" w:cs="Times New Roman"/>
      <w:b/>
      <w:bCs/>
      <w:sz w:val="28"/>
      <w:szCs w:val="32"/>
    </w:rPr>
  </w:style>
  <w:style w:type="character" w:customStyle="1" w:styleId="31">
    <w:name w:val="页眉 Char"/>
    <w:qFormat/>
    <w:uiPriority w:val="99"/>
    <w:rPr>
      <w:rFonts w:ascii="仿宋_GB2312" w:eastAsia="仿宋_GB2312"/>
      <w:kern w:val="2"/>
      <w:sz w:val="21"/>
      <w:szCs w:val="21"/>
    </w:rPr>
  </w:style>
  <w:style w:type="character" w:customStyle="1" w:styleId="32">
    <w:name w:val="文档结构图 Char"/>
    <w:basedOn w:val="18"/>
    <w:link w:val="6"/>
    <w:semiHidden/>
    <w:qFormat/>
    <w:uiPriority w:val="0"/>
    <w:rPr>
      <w:rFonts w:ascii="Times New Roman" w:hAnsi="Times New Roman" w:eastAsia="宋体" w:cs="Times New Roman"/>
      <w:szCs w:val="24"/>
      <w:shd w:val="clear" w:color="auto" w:fill="000080"/>
    </w:rPr>
  </w:style>
  <w:style w:type="paragraph" w:customStyle="1" w:styleId="33">
    <w:name w:val="默认段落字体 Para Char Char Char Char"/>
    <w:basedOn w:val="1"/>
    <w:qFormat/>
    <w:uiPriority w:val="0"/>
  </w:style>
  <w:style w:type="character" w:customStyle="1" w:styleId="34">
    <w:name w:val="正文文本 Char"/>
    <w:basedOn w:val="18"/>
    <w:link w:val="7"/>
    <w:qFormat/>
    <w:uiPriority w:val="0"/>
    <w:rPr>
      <w:rFonts w:ascii="Times New Roman" w:hAnsi="Times New Roman" w:eastAsia="宋体" w:cs="Times New Roman"/>
      <w:sz w:val="28"/>
      <w:szCs w:val="24"/>
    </w:rPr>
  </w:style>
  <w:style w:type="character" w:customStyle="1" w:styleId="35">
    <w:name w:val="正文文本缩进 2 Char"/>
    <w:basedOn w:val="18"/>
    <w:link w:val="9"/>
    <w:qFormat/>
    <w:uiPriority w:val="0"/>
    <w:rPr>
      <w:rFonts w:ascii="Times New Roman" w:hAnsi="Times New Roman" w:eastAsia="宋体" w:cs="Times New Roman"/>
      <w:sz w:val="28"/>
      <w:szCs w:val="24"/>
    </w:rPr>
  </w:style>
  <w:style w:type="character" w:customStyle="1" w:styleId="36">
    <w:name w:val="批注框文本 Char"/>
    <w:basedOn w:val="18"/>
    <w:link w:val="10"/>
    <w:semiHidden/>
    <w:qFormat/>
    <w:uiPriority w:val="0"/>
    <w:rPr>
      <w:rFonts w:ascii="Times New Roman" w:hAnsi="Times New Roman" w:eastAsia="宋体" w:cs="Times New Roman"/>
      <w:sz w:val="18"/>
      <w:szCs w:val="18"/>
    </w:rPr>
  </w:style>
  <w:style w:type="paragraph" w:customStyle="1" w:styleId="37">
    <w:name w:val="Default"/>
    <w:qFormat/>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character" w:customStyle="1" w:styleId="38">
    <w:name w:val="HTML 预设格式 Char"/>
    <w:qFormat/>
    <w:uiPriority w:val="0"/>
    <w:rPr>
      <w:rFonts w:ascii="黑体" w:hAnsi="Courier New" w:eastAsia="黑体" w:cs="Courier New"/>
      <w:kern w:val="0"/>
      <w:sz w:val="20"/>
      <w:szCs w:val="20"/>
    </w:rPr>
  </w:style>
  <w:style w:type="character" w:customStyle="1" w:styleId="39">
    <w:name w:val="正文首行缩进 Char"/>
    <w:basedOn w:val="34"/>
    <w:link w:val="15"/>
    <w:semiHidden/>
    <w:qFormat/>
    <w:uiPriority w:val="99"/>
    <w:rPr>
      <w:rFonts w:ascii="Times New Roman" w:hAnsi="Times New Roman" w:eastAsia="宋体" w:cs="Times New Roman"/>
      <w:sz w:val="28"/>
      <w:szCs w:val="24"/>
    </w:rPr>
  </w:style>
  <w:style w:type="paragraph" w:styleId="40">
    <w:name w:val="List Paragraph"/>
    <w:basedOn w:val="1"/>
    <w:qFormat/>
    <w:uiPriority w:val="99"/>
    <w:pPr>
      <w:ind w:firstLine="420" w:firstLineChars="200"/>
    </w:pPr>
  </w:style>
  <w:style w:type="character" w:customStyle="1" w:styleId="41">
    <w:name w:val="标题 3 Char"/>
    <w:basedOn w:val="18"/>
    <w:link w:val="4"/>
    <w:qFormat/>
    <w:uiPriority w:val="9"/>
    <w:rPr>
      <w:rFonts w:ascii="Times New Roman" w:hAnsi="Times New Roman" w:eastAsia="宋体" w:cs="Times New Roman"/>
      <w:b/>
      <w:bCs/>
      <w:sz w:val="32"/>
      <w:szCs w:val="32"/>
    </w:rPr>
  </w:style>
  <w:style w:type="paragraph" w:customStyle="1" w:styleId="42">
    <w:name w:val="A."/>
    <w:basedOn w:val="1"/>
    <w:qFormat/>
    <w:uiPriority w:val="0"/>
    <w:pPr>
      <w:widowControl/>
      <w:tabs>
        <w:tab w:val="left" w:pos="453"/>
        <w:tab w:val="left" w:pos="1200"/>
      </w:tabs>
      <w:spacing w:before="240" w:line="0" w:lineRule="atLeast"/>
      <w:ind w:left="453" w:hanging="453"/>
    </w:pPr>
    <w:rPr>
      <w:sz w:val="24"/>
      <w:szCs w:val="20"/>
    </w:rPr>
  </w:style>
  <w:style w:type="paragraph" w:customStyle="1" w:styleId="43">
    <w:name w:val="样式 仿宋_GB2312 段后: 6 磅1"/>
    <w:basedOn w:val="1"/>
    <w:qFormat/>
    <w:uiPriority w:val="0"/>
    <w:pPr>
      <w:spacing w:after="120"/>
      <w:ind w:firstLine="480" w:firstLineChars="200"/>
    </w:pPr>
    <w:rPr>
      <w:rFonts w:ascii="宋体" w:hAnsi="宋体" w:cs="宋体"/>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6C9BB5-904B-4A9F-B857-96095DD5C1AA}">
  <ds:schemaRefs/>
</ds:datastoreItem>
</file>

<file path=docProps/app.xml><?xml version="1.0" encoding="utf-8"?>
<Properties xmlns="http://schemas.openxmlformats.org/officeDocument/2006/extended-properties" xmlns:vt="http://schemas.openxmlformats.org/officeDocument/2006/docPropsVTypes">
  <Template>Normal.dotm</Template>
  <Pages>1</Pages>
  <Words>78</Words>
  <Characters>448</Characters>
  <Lines>3</Lines>
  <Paragraphs>1</Paragraphs>
  <TotalTime>11</TotalTime>
  <ScaleCrop>false</ScaleCrop>
  <LinksUpToDate>false</LinksUpToDate>
  <CharactersWithSpaces>525</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2020-11-16T07:34:00Z</dcterms:created>
  <dc:creator>曹婷</dc:creator>
  <cp:lastModifiedBy>Administrator</cp:lastModifiedBy>
  <cp:lastPrinted>2020-11-30T01:02:00Z</cp:lastPrinted>
  <dcterms:modified xsi:type="dcterms:W3CDTF">2020-11-30T03:22:16Z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