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050" w:type="dxa"/>
        <w:tblInd w:w="-7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0"/>
        <w:gridCol w:w="641"/>
        <w:gridCol w:w="8929"/>
        <w:gridCol w:w="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0050" w:type="dxa"/>
            <w:gridSpan w:val="4"/>
            <w:tcBorders>
              <w:bottom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i w:val="0"/>
                <w:color w:val="000000"/>
                <w:kern w:val="0"/>
                <w:sz w:val="36"/>
                <w:szCs w:val="36"/>
                <w:u w:val="none"/>
                <w:lang w:val="en-US" w:eastAsia="zh-CN" w:bidi="ar"/>
              </w:rPr>
            </w:pPr>
            <w:r>
              <w:rPr>
                <w:rFonts w:hint="eastAsia" w:ascii="微软雅黑" w:hAnsi="微软雅黑" w:eastAsia="微软雅黑" w:cs="微软雅黑"/>
                <w:b/>
                <w:i w:val="0"/>
                <w:color w:val="000000"/>
                <w:kern w:val="0"/>
                <w:sz w:val="36"/>
                <w:szCs w:val="36"/>
                <w:u w:val="none"/>
                <w:lang w:val="en-US" w:eastAsia="zh-CN" w:bidi="ar"/>
              </w:rPr>
              <w:t>芜湖市第三人民医院安检门测温通道配置参数</w:t>
            </w:r>
          </w:p>
          <w:p>
            <w:pPr>
              <w:keepNext w:val="0"/>
              <w:keepLines w:val="0"/>
              <w:widowControl/>
              <w:suppressLineNumbers w:val="0"/>
              <w:jc w:val="left"/>
              <w:textAlignment w:val="center"/>
              <w:rPr>
                <w:rFonts w:hint="eastAsia" w:ascii="新宋体" w:hAnsi="新宋体" w:eastAsia="新宋体" w:cs="新宋体"/>
                <w:b w:val="0"/>
                <w:bCs w:val="0"/>
                <w:sz w:val="24"/>
                <w:szCs w:val="24"/>
                <w:lang w:val="en-US" w:eastAsia="zh-CN"/>
              </w:rPr>
            </w:pPr>
            <w:r>
              <w:rPr>
                <w:rFonts w:hint="eastAsia" w:ascii="新宋体" w:hAnsi="新宋体" w:eastAsia="新宋体" w:cs="新宋体"/>
                <w:b w:val="0"/>
                <w:bCs w:val="0"/>
                <w:sz w:val="24"/>
                <w:szCs w:val="24"/>
                <w:lang w:val="en-US" w:eastAsia="zh-CN"/>
              </w:rPr>
              <w:t xml:space="preserve">  </w:t>
            </w:r>
          </w:p>
          <w:p>
            <w:pPr>
              <w:keepNext w:val="0"/>
              <w:keepLines w:val="0"/>
              <w:widowControl/>
              <w:suppressLineNumbers w:val="0"/>
              <w:spacing w:line="360" w:lineRule="auto"/>
              <w:jc w:val="left"/>
              <w:textAlignment w:val="center"/>
              <w:rPr>
                <w:rFonts w:hint="eastAsia" w:ascii="微软雅黑" w:hAnsi="微软雅黑" w:eastAsia="微软雅黑" w:cs="微软雅黑"/>
                <w:b/>
                <w:i w:val="0"/>
                <w:color w:val="000000"/>
                <w:kern w:val="0"/>
                <w:sz w:val="36"/>
                <w:szCs w:val="36"/>
                <w:u w:val="none"/>
                <w:lang w:val="en-US" w:eastAsia="zh-CN" w:bidi="ar"/>
              </w:rPr>
            </w:pPr>
            <w:r>
              <w:rPr>
                <w:rFonts w:hint="eastAsia" w:ascii="新宋体" w:hAnsi="新宋体" w:eastAsia="新宋体" w:cs="新宋体"/>
                <w:b w:val="0"/>
                <w:bCs w:val="0"/>
                <w:sz w:val="24"/>
                <w:szCs w:val="24"/>
                <w:lang w:val="en-US" w:eastAsia="zh-CN"/>
              </w:rPr>
              <w:t xml:space="preserve">   </w:t>
            </w:r>
            <w:r>
              <w:rPr>
                <w:rFonts w:hint="eastAsia" w:ascii="新宋体" w:hAnsi="新宋体" w:eastAsia="新宋体" w:cs="新宋体"/>
                <w:b w:val="0"/>
                <w:bCs w:val="0"/>
                <w:sz w:val="24"/>
                <w:szCs w:val="24"/>
                <w:lang w:eastAsia="zh-CN"/>
              </w:rPr>
              <w:t>根据疫情防疫需要结合我院区域划分，参考</w:t>
            </w:r>
            <w:r>
              <w:rPr>
                <w:rFonts w:hint="eastAsia" w:ascii="新宋体" w:hAnsi="新宋体" w:eastAsia="新宋体" w:cs="新宋体"/>
                <w:b w:val="0"/>
                <w:bCs w:val="0"/>
                <w:sz w:val="24"/>
                <w:szCs w:val="24"/>
                <w:lang w:val="en-US" w:eastAsia="zh-CN"/>
              </w:rPr>
              <w:t>2院病区管理设备</w:t>
            </w:r>
            <w:r>
              <w:rPr>
                <w:rFonts w:hint="eastAsia" w:ascii="新宋体" w:hAnsi="新宋体" w:eastAsia="新宋体" w:cs="新宋体"/>
                <w:b w:val="0"/>
                <w:bCs w:val="0"/>
                <w:sz w:val="24"/>
                <w:szCs w:val="24"/>
                <w:lang w:eastAsia="zh-CN"/>
              </w:rPr>
              <w:t>，申请在院南大门、门诊楼一层大厅入口各建立首道通关体温筛查-测温安检门系统防线。采用非接触测温：疫情移动至南大门可对通过安检门的人员进行脸部温度测试并进行人员准确匹配，温度精度：±0.5℃，搭配黑体精度可达 ±0.3℃。人体温度初筛：可通过安全温度阈值设置，超过该阈值，可联动安检门本地声光报警，系统含</w:t>
            </w:r>
            <w:r>
              <w:rPr>
                <w:rFonts w:hint="eastAsia" w:ascii="新宋体" w:hAnsi="新宋体" w:eastAsia="新宋体" w:cs="新宋体"/>
                <w:b w:val="0"/>
                <w:bCs w:val="0"/>
                <w:sz w:val="24"/>
                <w:szCs w:val="24"/>
                <w:lang w:val="en-US" w:eastAsia="zh-CN"/>
              </w:rPr>
              <w:t>1.</w:t>
            </w:r>
            <w:r>
              <w:rPr>
                <w:rFonts w:hint="eastAsia" w:ascii="新宋体" w:hAnsi="新宋体" w:eastAsia="新宋体" w:cs="新宋体"/>
                <w:b w:val="0"/>
                <w:bCs w:val="0"/>
                <w:i w:val="0"/>
                <w:color w:val="000000"/>
                <w:kern w:val="0"/>
                <w:sz w:val="24"/>
                <w:szCs w:val="24"/>
                <w:u w:val="none"/>
                <w:lang w:val="en-US" w:eastAsia="zh-CN" w:bidi="ar"/>
              </w:rPr>
              <w:t>测温安检门、</w:t>
            </w:r>
            <w:r>
              <w:rPr>
                <w:rFonts w:hint="eastAsia" w:ascii="新宋体" w:hAnsi="新宋体" w:eastAsia="新宋体" w:cs="新宋体"/>
                <w:i w:val="0"/>
                <w:color w:val="000000"/>
                <w:kern w:val="0"/>
                <w:sz w:val="24"/>
                <w:szCs w:val="24"/>
                <w:u w:val="none"/>
                <w:lang w:val="en-US" w:eastAsia="zh-CN" w:bidi="ar"/>
              </w:rPr>
              <w:t>客户端管理软件、3.显示终端设备操作台、4.室外门边包边装饰，）</w:t>
            </w:r>
            <w:r>
              <w:rPr>
                <w:rFonts w:hint="eastAsia" w:ascii="新宋体" w:hAnsi="新宋体" w:eastAsia="新宋体" w:cs="新宋体"/>
                <w:b w:val="0"/>
                <w:bCs w:val="0"/>
                <w:sz w:val="24"/>
                <w:szCs w:val="24"/>
                <w:lang w:eastAsia="zh-CN"/>
              </w:rPr>
              <w:t>外形(mm)2287(高)x872(宽)x663(深)</w:t>
            </w:r>
          </w:p>
          <w:p>
            <w:pPr>
              <w:keepNext w:val="0"/>
              <w:keepLines w:val="0"/>
              <w:widowControl/>
              <w:suppressLineNumbers w:val="0"/>
              <w:jc w:val="center"/>
              <w:textAlignment w:val="center"/>
              <w:rPr>
                <w:rFonts w:hint="eastAsia" w:ascii="微软雅黑" w:hAnsi="微软雅黑" w:eastAsia="微软雅黑" w:cs="微软雅黑"/>
                <w:b/>
                <w:i w:val="0"/>
                <w:color w:val="000000"/>
                <w:kern w:val="0"/>
                <w:sz w:val="36"/>
                <w:szCs w:val="3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24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新宋体" w:hAnsi="新宋体" w:eastAsia="新宋体" w:cs="新宋体"/>
                <w:b w:val="0"/>
                <w:bCs/>
                <w:i w:val="0"/>
                <w:color w:val="000000"/>
                <w:sz w:val="24"/>
                <w:szCs w:val="24"/>
                <w:u w:val="none"/>
              </w:rPr>
            </w:pPr>
            <w:r>
              <w:rPr>
                <w:rFonts w:hint="eastAsia" w:ascii="新宋体" w:hAnsi="新宋体" w:eastAsia="新宋体" w:cs="新宋体"/>
                <w:b w:val="0"/>
                <w:bCs/>
                <w:i w:val="0"/>
                <w:color w:val="000000"/>
                <w:kern w:val="0"/>
                <w:sz w:val="24"/>
                <w:szCs w:val="24"/>
                <w:u w:val="none"/>
                <w:lang w:val="en-US" w:eastAsia="zh-CN" w:bidi="ar"/>
              </w:rPr>
              <w:t>序号</w:t>
            </w:r>
          </w:p>
        </w:tc>
        <w:tc>
          <w:tcPr>
            <w:tcW w:w="64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新宋体" w:hAnsi="新宋体" w:eastAsia="新宋体" w:cs="新宋体"/>
                <w:b w:val="0"/>
                <w:bCs/>
                <w:i w:val="0"/>
                <w:color w:val="000000"/>
                <w:sz w:val="24"/>
                <w:szCs w:val="24"/>
                <w:u w:val="none"/>
              </w:rPr>
            </w:pPr>
            <w:r>
              <w:rPr>
                <w:rFonts w:hint="eastAsia" w:ascii="新宋体" w:hAnsi="新宋体" w:eastAsia="新宋体" w:cs="新宋体"/>
                <w:b w:val="0"/>
                <w:bCs/>
                <w:i w:val="0"/>
                <w:color w:val="000000"/>
                <w:kern w:val="0"/>
                <w:sz w:val="24"/>
                <w:szCs w:val="24"/>
                <w:u w:val="none"/>
                <w:lang w:val="en-US" w:eastAsia="zh-CN" w:bidi="ar"/>
              </w:rPr>
              <w:t>方案</w:t>
            </w:r>
          </w:p>
        </w:tc>
        <w:tc>
          <w:tcPr>
            <w:tcW w:w="892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新宋体" w:hAnsi="新宋体" w:eastAsia="新宋体" w:cs="新宋体"/>
                <w:b w:val="0"/>
                <w:bCs/>
                <w:i w:val="0"/>
                <w:color w:val="000000"/>
                <w:sz w:val="24"/>
                <w:szCs w:val="24"/>
                <w:u w:val="none"/>
              </w:rPr>
            </w:pPr>
            <w:r>
              <w:rPr>
                <w:rFonts w:hint="eastAsia" w:ascii="新宋体" w:hAnsi="新宋体" w:eastAsia="新宋体" w:cs="新宋体"/>
                <w:b w:val="0"/>
                <w:bCs/>
                <w:i w:val="0"/>
                <w:color w:val="000000"/>
                <w:kern w:val="0"/>
                <w:sz w:val="24"/>
                <w:szCs w:val="24"/>
                <w:u w:val="none"/>
                <w:lang w:val="en-US" w:eastAsia="zh-CN" w:bidi="ar"/>
              </w:rPr>
              <w:t>参数</w:t>
            </w:r>
          </w:p>
        </w:tc>
        <w:tc>
          <w:tcPr>
            <w:tcW w:w="24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新宋体" w:hAnsi="新宋体" w:eastAsia="新宋体" w:cs="新宋体"/>
                <w:b w:val="0"/>
                <w:bCs/>
                <w:i w:val="0"/>
                <w:color w:val="000000"/>
                <w:sz w:val="24"/>
                <w:szCs w:val="24"/>
                <w:u w:val="none"/>
              </w:rPr>
            </w:pPr>
            <w:r>
              <w:rPr>
                <w:rFonts w:hint="eastAsia" w:ascii="新宋体" w:hAnsi="新宋体" w:eastAsia="新宋体" w:cs="新宋体"/>
                <w:b w:val="0"/>
                <w:bCs/>
                <w:i w:val="0"/>
                <w:color w:val="000000"/>
                <w:kern w:val="0"/>
                <w:sz w:val="24"/>
                <w:szCs w:val="24"/>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5"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val="0"/>
                <w:bCs/>
                <w:i w:val="0"/>
                <w:color w:val="000000"/>
                <w:sz w:val="22"/>
                <w:szCs w:val="22"/>
                <w:u w:val="none"/>
              </w:rPr>
            </w:pPr>
            <w:r>
              <w:rPr>
                <w:rFonts w:hint="eastAsia" w:ascii="新宋体" w:hAnsi="新宋体" w:eastAsia="新宋体" w:cs="新宋体"/>
                <w:b w:val="0"/>
                <w:bCs/>
                <w:i w:val="0"/>
                <w:color w:val="000000"/>
                <w:kern w:val="0"/>
                <w:sz w:val="22"/>
                <w:szCs w:val="22"/>
                <w:u w:val="none"/>
                <w:lang w:val="en-US" w:eastAsia="zh-CN" w:bidi="ar"/>
              </w:rPr>
              <w:t>1</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outlineLvl w:val="9"/>
              <w:rPr>
                <w:rFonts w:hint="eastAsia" w:ascii="新宋体" w:hAnsi="新宋体" w:eastAsia="新宋体" w:cs="新宋体"/>
                <w:b w:val="0"/>
                <w:bCs/>
                <w:i w:val="0"/>
                <w:color w:val="000000"/>
                <w:sz w:val="22"/>
                <w:szCs w:val="22"/>
                <w:u w:val="none"/>
              </w:rPr>
            </w:pPr>
            <w:r>
              <w:rPr>
                <w:rStyle w:val="4"/>
                <w:rFonts w:hint="eastAsia" w:ascii="新宋体" w:hAnsi="新宋体" w:eastAsia="新宋体" w:cs="新宋体"/>
                <w:b w:val="0"/>
                <w:bCs/>
                <w:lang w:val="en-US" w:eastAsia="zh-CN" w:bidi="ar"/>
              </w:rPr>
              <w:t>通关体温筛查</w:t>
            </w:r>
            <w:r>
              <w:rPr>
                <w:rStyle w:val="5"/>
                <w:rFonts w:hint="eastAsia" w:ascii="新宋体" w:hAnsi="新宋体" w:eastAsia="新宋体" w:cs="新宋体"/>
                <w:b w:val="0"/>
                <w:bCs/>
                <w:lang w:val="en-US" w:eastAsia="zh-CN" w:bidi="ar"/>
              </w:rPr>
              <w:t>-测温安检门系统</w:t>
            </w:r>
          </w:p>
        </w:tc>
        <w:tc>
          <w:tcPr>
            <w:tcW w:w="8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left"/>
              <w:textAlignment w:val="center"/>
              <w:outlineLvl w:val="9"/>
              <w:rPr>
                <w:rFonts w:hint="eastAsia" w:ascii="新宋体" w:hAnsi="新宋体" w:eastAsia="新宋体" w:cs="新宋体"/>
                <w:b w:val="0"/>
                <w:bCs/>
                <w:i w:val="0"/>
                <w:color w:val="000000"/>
                <w:sz w:val="21"/>
                <w:szCs w:val="21"/>
                <w:u w:val="none"/>
              </w:rPr>
            </w:pPr>
            <w:r>
              <w:rPr>
                <w:rFonts w:hint="eastAsia" w:ascii="新宋体" w:hAnsi="新宋体" w:eastAsia="新宋体" w:cs="新宋体"/>
                <w:b w:val="0"/>
                <w:bCs/>
                <w:i w:val="0"/>
                <w:color w:val="000000"/>
                <w:kern w:val="0"/>
                <w:sz w:val="21"/>
                <w:szCs w:val="21"/>
                <w:u w:val="none"/>
                <w:lang w:val="en-US" w:eastAsia="zh-CN" w:bidi="ar"/>
              </w:rPr>
              <w:t>含：测温安检门，安消一体化摄像机，录像机，链接交换机</w:t>
            </w:r>
            <w:r>
              <w:rPr>
                <w:rFonts w:hint="eastAsia" w:ascii="新宋体" w:hAnsi="新宋体" w:eastAsia="新宋体" w:cs="新宋体"/>
                <w:b w:val="0"/>
                <w:bCs/>
                <w:i w:val="0"/>
                <w:color w:val="000000"/>
                <w:kern w:val="0"/>
                <w:sz w:val="21"/>
                <w:szCs w:val="21"/>
                <w:u w:val="none"/>
                <w:lang w:val="en-US" w:eastAsia="zh-CN" w:bidi="ar"/>
              </w:rPr>
              <w:br w:type="textWrapping"/>
            </w:r>
            <w:r>
              <w:rPr>
                <w:rFonts w:hint="eastAsia" w:ascii="新宋体" w:hAnsi="新宋体" w:eastAsia="新宋体" w:cs="新宋体"/>
                <w:b w:val="0"/>
                <w:bCs/>
                <w:i w:val="0"/>
                <w:color w:val="000000"/>
                <w:kern w:val="0"/>
                <w:sz w:val="21"/>
                <w:szCs w:val="21"/>
                <w:u w:val="none"/>
                <w:lang w:val="en-US" w:eastAsia="zh-CN" w:bidi="ar"/>
              </w:rPr>
              <w:t>安检门：</w:t>
            </w:r>
            <w:r>
              <w:rPr>
                <w:rStyle w:val="5"/>
                <w:rFonts w:hint="eastAsia" w:ascii="新宋体" w:hAnsi="新宋体" w:eastAsia="新宋体" w:cs="新宋体"/>
                <w:b w:val="0"/>
                <w:bCs/>
                <w:sz w:val="21"/>
                <w:szCs w:val="21"/>
                <w:lang w:val="en-US" w:eastAsia="zh-CN" w:bidi="ar"/>
              </w:rPr>
              <w:t>【测温、金属检测、联网】</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测温：热成像相机测温</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热成像分辨率：160*120</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测温精度：±0.5℃</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测温范围：30-45℃</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非接触测温：可对通过安检门的人员进行脸部温度测试并进行人员准确匹配，温度精度：±0.5℃，搭配黑体精度可达 ±0.3℃</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人体温度初筛：可通过安全温度阈值设置，超过该阈值，可联动安检门本地声光报警，建立首道防线；</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门体双屏显示：前部4.3寸LCD屏、背部LED屏双屏显示，可显示通过人数、金属报警人数、实时温度等；</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金属检测：可检测到1个回形针大小的金属，有效进行违规物品核验；</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联网功能：可实现联网互通，搭配平台进行人脸数据、客流数据、报警数据、通过人员和温度精准匹配等数据进行汇聚应用；</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多区位报警功能：人体不同位置的多个金属通过安检门时会同时报警，并可以指示多个金属的位置，最多支持12区位。</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模块化组件设计：运输、维护方便快捷。</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系统参数 电源输入 220V</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功率 小于20W</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工作温度和湿度：-10℃─55℃，95%，无冷凝</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重量 小于90kg</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外形尺寸 (mm)2287(高)x872(宽)x663(深)</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通道尺寸 (mm)2005(高)x730(宽)x600(深)</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br w:type="textWrapping"/>
            </w:r>
            <w:r>
              <w:rPr>
                <w:rStyle w:val="4"/>
                <w:rFonts w:hint="eastAsia" w:ascii="新宋体" w:hAnsi="新宋体" w:eastAsia="新宋体" w:cs="新宋体"/>
                <w:b w:val="0"/>
                <w:bCs/>
                <w:sz w:val="21"/>
                <w:szCs w:val="21"/>
                <w:lang w:val="en-US" w:eastAsia="zh-CN" w:bidi="ar"/>
              </w:rPr>
              <w:t>安消一体化摄像机：</w:t>
            </w:r>
            <w:r>
              <w:rPr>
                <w:rStyle w:val="4"/>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1. 支持1路报警输入，1路报警输出，1路RS-485、1路RJ45</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2. 支持NAS存储、Email警情通知、FTP上传、NTP校时</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3. 视频压缩标准：支持H.265、H.264、MJPEG（子码流）</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4. 设备支持自动白平衡功能</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5. 可对主码流、子码流进行录像，支持预录、延录及存储介质循环覆盖功能。可设置7×24小时录像或自定义录像计划</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6. 支持将视频图像保存至PC、SD卡、存储服务器等；SD卡支持128GB </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7. 具有定时抓拍、报警抓拍、FTP上传设置选项，抓图的时间间隔和图片数量可设</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8. 支持在编码时加入特殊字段，可提示录像文件被篡改</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9. 具有密保功能，支持多问题验证密码保护功能；当忘记密码时，允许通过正确匹配密保问题，重新设置管理员密码</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10. ★具备火焰报警功能，支持火焰感知报警功能，对直视范围内的燃烧火焰进行火焰探测，探测距离8m，可以感知火焰并联动声光警示；报警响应时间不大于3s，具备高温报警功能，支持直视范围内的高温物体感温报警，距离8m范围内，可对燃烧的火焰进行高温探测，可以感知高温并联动声光警示；报警响应时间不大于3s（公安部检测报告证明）</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11. ★具备火点位置识别指示功能，支持火点及高温物品点位识别，并在视频画面中框出位置（公安部检测报告证明）</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12. ★具备智能报警输出功能，摄像机的火焰和高温报警，可联动支持火焰和高温报警的NVR输出报警响应。</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13. 具备报警屏蔽区域设置功能，可自定义配置8个屏蔽检测区域</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br w:type="textWrapping"/>
            </w:r>
            <w:r>
              <w:rPr>
                <w:rStyle w:val="4"/>
                <w:rFonts w:hint="eastAsia" w:ascii="新宋体" w:hAnsi="新宋体" w:eastAsia="新宋体" w:cs="新宋体"/>
                <w:b w:val="0"/>
                <w:bCs/>
                <w:sz w:val="21"/>
                <w:szCs w:val="21"/>
                <w:lang w:val="en-US" w:eastAsia="zh-CN" w:bidi="ar"/>
              </w:rPr>
              <w:t>硬盘录像机：</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支持接入带有越界报警、区域入侵、进入区域、离开区域、人员聚集、快速移动、徘徊报警、场景变更报警、虚焦报警、人脸识别报警功能的网络摄像机，当触发报警时可联动录像、抓拍、报警输出（以公安部检测报告为准）</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★支持接入具有断网续传功能的网络摄像机,当设备与摄像机之间网络中断并恢复后,可自动接收摄像机内存储的视频图像（以公安部检测报告为准）</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可设置9/8/6/4/1等多种预览模式（以公安部检测报告为准）</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支持2个SATA接口，每个接口1TB/2TB/3TB/4TB/6TB硬盘</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支持对任一录像文件打标签，单个文件最大支持1024个标签；NVR设备可添加的标签个数不少于8192，支持对任一录像文件加锁、解锁，只有解锁后才可被覆盖</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支持设置图案密码，用户通过绘制图案来解锁并登录；支持密码复杂度登记显示功能；新出厂设备需激活</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支持客户端与设备端进行实时双向对讲；支持客户端与设备的IP通道进行实时双向对讲</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br w:type="textWrapping"/>
            </w:r>
            <w:r>
              <w:rPr>
                <w:rStyle w:val="4"/>
                <w:rFonts w:hint="eastAsia" w:ascii="新宋体" w:hAnsi="新宋体" w:eastAsia="新宋体" w:cs="新宋体"/>
                <w:b w:val="0"/>
                <w:bCs/>
                <w:sz w:val="21"/>
                <w:szCs w:val="21"/>
                <w:lang w:val="en-US" w:eastAsia="zh-CN" w:bidi="ar"/>
              </w:rPr>
              <w:t>交换机：</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提供8个百兆电口，1个千兆电口。</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支持IEEE 802.3、IEEE 802.3u、IEEE 802.3x、IEEE802.3ab标准。</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支持iVMS-4200客户端管理。</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支持云管APP管理。</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支持安防网络拓扑管理、QoS、端口管理。</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支持远程升级。</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支持最远250 m传输。</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支持红口保障。</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百兆网络接入，千兆上行设计。</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线速转发。</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存储转发交换方式。</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坚固式高强度金属外壳。</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 xml:space="preserve"> 无风扇设计，高可靠性。</w:t>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br w:type="textWrapping"/>
            </w:r>
            <w:r>
              <w:rPr>
                <w:rStyle w:val="5"/>
                <w:rFonts w:hint="eastAsia" w:ascii="新宋体" w:hAnsi="新宋体" w:eastAsia="新宋体" w:cs="新宋体"/>
                <w:b w:val="0"/>
                <w:bCs/>
                <w:sz w:val="21"/>
                <w:szCs w:val="21"/>
                <w:lang w:val="en-US" w:eastAsia="zh-CN" w:bidi="ar"/>
              </w:rPr>
              <w:t>★所有设备为同一品牌，并提供原厂售后服务承诺函</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outlineLvl w:val="9"/>
              <w:rPr>
                <w:rFonts w:hint="eastAsia" w:ascii="新宋体" w:hAnsi="新宋体" w:eastAsia="新宋体" w:cs="新宋体"/>
                <w:b w:val="0"/>
                <w:bCs/>
                <w:i w:val="0"/>
                <w:color w:val="000000"/>
                <w:sz w:val="22"/>
                <w:szCs w:val="22"/>
                <w:u w:val="none"/>
                <w:lang w:val="en-US" w:eastAsia="zh-CN"/>
              </w:rPr>
            </w:pPr>
            <w:r>
              <w:rPr>
                <w:rFonts w:hint="eastAsia" w:ascii="新宋体" w:hAnsi="新宋体" w:eastAsia="新宋体" w:cs="新宋体"/>
                <w:b w:val="0"/>
                <w:bCs/>
                <w:i w:val="0"/>
                <w:color w:val="000000"/>
                <w:sz w:val="22"/>
                <w:szCs w:val="22"/>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771" w:hRule="atLeast"/>
        </w:trPr>
        <w:tc>
          <w:tcPr>
            <w:tcW w:w="2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台式电脑（含：客户端管理软件）</w:t>
            </w:r>
          </w:p>
        </w:tc>
        <w:tc>
          <w:tcPr>
            <w:tcW w:w="89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新宋体" w:hAnsi="新宋体" w:eastAsia="新宋体" w:cs="新宋体"/>
                <w:i w:val="0"/>
                <w:color w:val="000000"/>
                <w:sz w:val="21"/>
                <w:szCs w:val="21"/>
                <w:u w:val="none"/>
              </w:rPr>
            </w:pPr>
            <w:r>
              <w:rPr>
                <w:rFonts w:hint="eastAsia" w:ascii="新宋体" w:hAnsi="新宋体" w:eastAsia="新宋体" w:cs="新宋体"/>
                <w:i w:val="0"/>
                <w:color w:val="000000"/>
                <w:kern w:val="0"/>
                <w:sz w:val="21"/>
                <w:szCs w:val="21"/>
                <w:u w:val="none"/>
                <w:lang w:val="en-US" w:eastAsia="zh-CN" w:bidi="ar"/>
              </w:rPr>
              <w:t>CPU：Intel 第九代 Core i3-9100 处理器（4核/3.6GHz主频/6MB缓存）；</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内存：≥4GB DDR4 2666，最大支持32G容量；</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硬盘：≥1T SATA3 7200转+128G M.2 NVME 固态；</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显卡： 集成显卡；</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主板：Inter B365系列及以上、原厂同品牌主板；</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网卡：集成10-100-1000M自适应有线网卡；</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声卡：集成5.1声道声卡;</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光驱：无光驱；</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系统：出厂自带win10　６４位操作系统；</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电源：不大于180W高转换率电源；</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接口：≥10个USB接口（其中前置不低于6*USB 3.1）、2个PS/2接口、1个串口，主板集成2个视频接口（其中至少1个VGA）、≥1个PCI-E*16，≥1个PCI-E*1，≥1个PCI；</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显示器：19.5宽LED液晶屏，通过了国际权威的TUV低蓝光认证, 并提供相关认证截图文件；</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机箱：标准MATX机箱，容积≤15L,顶置开关,出厂内置音箱设备；</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键鼠：PS2防水抗菌键盘、USB光电鼠标；</w:t>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br w:type="textWrapping"/>
            </w:r>
            <w:r>
              <w:rPr>
                <w:rFonts w:hint="eastAsia" w:ascii="新宋体" w:hAnsi="新宋体" w:eastAsia="新宋体" w:cs="新宋体"/>
                <w:i w:val="0"/>
                <w:color w:val="000000"/>
                <w:kern w:val="0"/>
                <w:sz w:val="21"/>
                <w:szCs w:val="21"/>
                <w:u w:val="none"/>
                <w:lang w:val="en-US" w:eastAsia="zh-CN" w:bidi="ar"/>
              </w:rPr>
              <w:t>测温通道同一品牌的配套客户端管理软件</w:t>
            </w:r>
          </w:p>
        </w:tc>
        <w:tc>
          <w:tcPr>
            <w:tcW w:w="2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22"/>
                <w:szCs w:val="22"/>
                <w:u w:val="none"/>
                <w:lang w:val="en-US" w:eastAsia="zh-CN"/>
              </w:rPr>
            </w:pPr>
            <w:r>
              <w:rPr>
                <w:rFonts w:hint="eastAsia" w:ascii="微软雅黑" w:hAnsi="微软雅黑" w:eastAsia="微软雅黑" w:cs="微软雅黑"/>
                <w:i w:val="0"/>
                <w:color w:val="000000"/>
                <w:sz w:val="22"/>
                <w:szCs w:val="22"/>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71"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3</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显示终端</w:t>
            </w:r>
          </w:p>
        </w:tc>
        <w:tc>
          <w:tcPr>
            <w:tcW w:w="8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新宋体" w:hAnsi="新宋体" w:eastAsia="新宋体" w:cs="新宋体"/>
                <w:i w:val="0"/>
                <w:color w:val="000000"/>
                <w:sz w:val="21"/>
                <w:szCs w:val="21"/>
                <w:u w:val="none"/>
              </w:rPr>
            </w:pPr>
            <w:r>
              <w:rPr>
                <w:rStyle w:val="5"/>
                <w:rFonts w:hint="eastAsia" w:ascii="新宋体" w:hAnsi="新宋体" w:eastAsia="新宋体" w:cs="新宋体"/>
                <w:sz w:val="21"/>
                <w:szCs w:val="21"/>
                <w:lang w:val="en-US" w:eastAsia="zh-CN" w:bidi="ar"/>
              </w:rPr>
              <w:t>22寸液晶监视器，显示：LED背光；物理分辨率1920×1080P；亮度250cd/㎡；对比度1000:1，功耗：≤35W，</w:t>
            </w:r>
            <w:r>
              <w:rPr>
                <w:rStyle w:val="5"/>
                <w:rFonts w:hint="eastAsia" w:ascii="新宋体" w:hAnsi="新宋体" w:eastAsia="新宋体" w:cs="新宋体"/>
                <w:sz w:val="21"/>
                <w:szCs w:val="21"/>
                <w:lang w:val="en-US" w:eastAsia="zh-CN" w:bidi="ar"/>
              </w:rPr>
              <w:br w:type="textWrapping"/>
            </w:r>
            <w:r>
              <w:rPr>
                <w:rStyle w:val="5"/>
                <w:rFonts w:hint="eastAsia" w:ascii="新宋体" w:hAnsi="新宋体" w:eastAsia="新宋体" w:cs="新宋体"/>
                <w:sz w:val="21"/>
                <w:szCs w:val="21"/>
                <w:lang w:val="en-US" w:eastAsia="zh-CN" w:bidi="ar"/>
              </w:rPr>
              <w:t>★支持定时开关机：支持按周绘制开关机时间段，或手动输入开关机时间点两种定时设置方式；用户通过客户端设置开关机定时信息,，设备到时间执行开机或关机动作，支持两种时间设置方式；以周为单位，每天可以设置多个开机和关机时间；可以设置特定年月日时分秒，做多可设置8个；开关机最小设置时间间隔30s；支持倒计时关机功能。提供封面首页具有CNAS标识的第三方检测报告复印件。</w:t>
            </w:r>
            <w:r>
              <w:rPr>
                <w:rStyle w:val="5"/>
                <w:rFonts w:hint="eastAsia" w:ascii="新宋体" w:hAnsi="新宋体" w:eastAsia="新宋体" w:cs="新宋体"/>
                <w:sz w:val="21"/>
                <w:szCs w:val="21"/>
                <w:lang w:val="en-US" w:eastAsia="zh-CN" w:bidi="ar"/>
              </w:rPr>
              <w:br w:type="textWrapping"/>
            </w:r>
            <w:r>
              <w:rPr>
                <w:rStyle w:val="5"/>
                <w:rFonts w:hint="eastAsia" w:ascii="新宋体" w:hAnsi="新宋体" w:eastAsia="新宋体" w:cs="新宋体"/>
                <w:sz w:val="21"/>
                <w:szCs w:val="21"/>
                <w:lang w:val="en-US" w:eastAsia="zh-CN" w:bidi="ar"/>
              </w:rPr>
              <w:t>显示单元具备透雾处理功能，显示单元具备智能透雾处理技术，支持9个等级的去雾处理能力。提供封面首页具有CNAS标识的第三方检测报告复印件。</w:t>
            </w:r>
            <w:r>
              <w:rPr>
                <w:rStyle w:val="5"/>
                <w:rFonts w:hint="eastAsia" w:ascii="新宋体" w:hAnsi="新宋体" w:eastAsia="新宋体" w:cs="新宋体"/>
                <w:sz w:val="21"/>
                <w:szCs w:val="21"/>
                <w:lang w:val="en-US" w:eastAsia="zh-CN" w:bidi="ar"/>
              </w:rPr>
              <w:br w:type="textWrapping"/>
            </w:r>
            <w:r>
              <w:rPr>
                <w:rStyle w:val="5"/>
                <w:rFonts w:hint="eastAsia" w:ascii="新宋体" w:hAnsi="新宋体" w:eastAsia="新宋体" w:cs="新宋体"/>
                <w:sz w:val="21"/>
                <w:szCs w:val="21"/>
                <w:lang w:val="en-US" w:eastAsia="zh-CN" w:bidi="ar"/>
              </w:rPr>
              <w:t>★监视器支持U盘点播，内置MPEG、JPEG和RealMedia解码器，支持点播U盘、移动硬盘中的视频、图片、音频或文本资源。视频：支持TS、3g2、avi、mkv、mov、mp4、mpg、tp等文件。音频：支持mp3、wma、m4a、wav、aac等文件。图片：支持jpg、bmp、png等文件。文本：支持txt文件。提供封面首页具有CNAS标识的第三方检测报告复印件。</w:t>
            </w:r>
          </w:p>
        </w:tc>
        <w:tc>
          <w:tcPr>
            <w:tcW w:w="240"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eastAsia="zh-CN"/>
              </w:rPr>
            </w:pPr>
            <w:r>
              <w:rPr>
                <w:rFonts w:hint="eastAsia" w:ascii="新宋体" w:hAnsi="新宋体" w:eastAsia="新宋体" w:cs="新宋体"/>
                <w:i w:val="0"/>
                <w:color w:val="000000"/>
                <w:sz w:val="22"/>
                <w:szCs w:val="22"/>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96" w:hRule="atLeast"/>
        </w:trPr>
        <w:tc>
          <w:tcPr>
            <w:tcW w:w="2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4</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设备操作台</w:t>
            </w:r>
          </w:p>
        </w:tc>
        <w:tc>
          <w:tcPr>
            <w:tcW w:w="89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长1500mm，高750mm，台面深度800mm，柜体深度600mm、遵循人体工程学、流线型设计； </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 xml:space="preserve">组装式全钢结构，操作台可拼接； </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 xml:space="preserve">表面处理：脱脂、酸洗、防锈磷化处理、表面静电喷塑、耐酸碱、防锈蚀、抗静电； </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 xml:space="preserve">颜色：银灰； </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预留线缆口、通风口、主机托、键盘台。</w:t>
            </w:r>
          </w:p>
        </w:tc>
        <w:tc>
          <w:tcPr>
            <w:tcW w:w="240" w:type="dxa"/>
            <w:tcBorders>
              <w:top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eastAsia="zh-CN"/>
              </w:rPr>
            </w:pPr>
            <w:r>
              <w:rPr>
                <w:rFonts w:hint="eastAsia" w:ascii="新宋体" w:hAnsi="新宋体" w:eastAsia="新宋体" w:cs="新宋体"/>
                <w:i w:val="0"/>
                <w:color w:val="000000"/>
                <w:sz w:val="22"/>
                <w:szCs w:val="22"/>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64" w:hRule="atLeast"/>
        </w:trPr>
        <w:tc>
          <w:tcPr>
            <w:tcW w:w="2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p>
        </w:tc>
        <w:tc>
          <w:tcPr>
            <w:tcW w:w="89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新宋体" w:hAnsi="新宋体" w:eastAsia="新宋体" w:cs="新宋体"/>
                <w:i w:val="0"/>
                <w:color w:val="000000"/>
                <w:sz w:val="22"/>
                <w:szCs w:val="22"/>
                <w:u w:val="none"/>
              </w:rPr>
            </w:pPr>
          </w:p>
        </w:tc>
        <w:tc>
          <w:tcPr>
            <w:tcW w:w="240" w:type="dxa"/>
            <w:tcBorders>
              <w:top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eastAsia="zh-CN"/>
              </w:rPr>
            </w:pPr>
          </w:p>
        </w:tc>
      </w:tr>
    </w:tbl>
    <w:p>
      <w:pPr>
        <w:jc w:val="center"/>
        <w:rPr>
          <w:rFonts w:hint="default" w:ascii="新宋体" w:hAnsi="新宋体" w:eastAsia="新宋体" w:cs="新宋体"/>
          <w:sz w:val="30"/>
          <w:szCs w:val="30"/>
          <w:lang w:val="en-US" w:eastAsia="zh-CN"/>
        </w:rPr>
      </w:pPr>
      <w:r>
        <w:rPr>
          <w:rFonts w:hint="eastAsia" w:ascii="新宋体" w:hAnsi="新宋体" w:eastAsia="新宋体" w:cs="新宋体"/>
          <w:sz w:val="30"/>
          <w:szCs w:val="30"/>
          <w:lang w:val="en-US" w:eastAsia="zh-CN"/>
        </w:rPr>
        <w:t>预算控制价：4.8万  质保期：两年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63586"/>
    <w:rsid w:val="0A563586"/>
    <w:rsid w:val="16904ACA"/>
    <w:rsid w:val="252C7B31"/>
    <w:rsid w:val="413274A6"/>
    <w:rsid w:val="438A4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微软雅黑" w:hAnsi="微软雅黑" w:eastAsia="微软雅黑" w:cs="微软雅黑"/>
      <w:b/>
      <w:color w:val="000000"/>
      <w:sz w:val="22"/>
      <w:szCs w:val="22"/>
      <w:u w:val="none"/>
    </w:rPr>
  </w:style>
  <w:style w:type="character" w:customStyle="1" w:styleId="5">
    <w:name w:val="font51"/>
    <w:basedOn w:val="3"/>
    <w:qFormat/>
    <w:uiPriority w:val="0"/>
    <w:rPr>
      <w:rFonts w:hint="eastAsia" w:ascii="微软雅黑" w:hAnsi="微软雅黑" w:eastAsia="微软雅黑" w:cs="微软雅黑"/>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2020-09-23T00:31:00Z</dcterms:created>
  <dc:creator>张勇86舵信</dc:creator>
  <cp:lastModifiedBy>Orange</cp:lastModifiedBy>
  <cp:lastPrinted>2020-09-28T02:00:00Z</cp:lastPrinted>
  <dcterms:modified xsi:type="dcterms:W3CDTF">2020-10-15T01:19:08Z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